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978A3" w:rsidRDefault="00C978A3" w:rsidP="00C978A3">
      <w:pPr>
        <w:pBdr>
          <w:top w:val="single" w:sz="6" w:space="1" w:color="auto"/>
          <w:left w:val="single" w:sz="6" w:space="1" w:color="auto"/>
          <w:bottom w:val="single" w:sz="6" w:space="1" w:color="auto"/>
          <w:right w:val="single" w:sz="6" w:space="1" w:color="auto"/>
        </w:pBdr>
        <w:tabs>
          <w:tab w:val="left" w:pos="576"/>
          <w:tab w:val="left" w:pos="1296"/>
          <w:tab w:val="left" w:pos="2016"/>
          <w:tab w:val="left" w:pos="2736"/>
          <w:tab w:val="left" w:pos="3456"/>
          <w:tab w:val="left" w:pos="4176"/>
          <w:tab w:val="left" w:pos="4896"/>
          <w:tab w:val="left" w:pos="5616"/>
          <w:tab w:val="left" w:pos="6336"/>
          <w:tab w:val="left" w:pos="7056"/>
          <w:tab w:val="left" w:pos="7776"/>
        </w:tabs>
        <w:jc w:val="center"/>
      </w:pPr>
      <w:r>
        <w:rPr>
          <w:sz w:val="40"/>
        </w:rPr>
        <w:sym w:font="Wingdings" w:char="F03F"/>
      </w:r>
      <w:r>
        <w:rPr>
          <w:sz w:val="40"/>
        </w:rPr>
        <w:t xml:space="preserve"> </w:t>
      </w:r>
      <w:r w:rsidR="00F2534C">
        <w:rPr>
          <w:sz w:val="30"/>
        </w:rPr>
        <w:t>Essay 2</w:t>
      </w:r>
      <w:r>
        <w:rPr>
          <w:sz w:val="30"/>
        </w:rPr>
        <w:t xml:space="preserve"> </w:t>
      </w:r>
      <w:r>
        <w:rPr>
          <w:sz w:val="30"/>
        </w:rPr>
        <w:sym w:font="Symbol" w:char="F0B7"/>
      </w:r>
      <w:r>
        <w:rPr>
          <w:sz w:val="30"/>
        </w:rPr>
        <w:t xml:space="preserve"> Classifying </w:t>
      </w:r>
      <w:r>
        <w:rPr>
          <w:sz w:val="30"/>
        </w:rPr>
        <w:sym w:font="Symbol" w:char="F0B7"/>
      </w:r>
      <w:r>
        <w:rPr>
          <w:sz w:val="30"/>
        </w:rPr>
        <w:t xml:space="preserve"> Three pages, typed (CR/NC)</w:t>
      </w:r>
    </w:p>
    <w:p w:rsidR="00C978A3" w:rsidRPr="00F70AC0" w:rsidRDefault="00C978A3" w:rsidP="00C978A3">
      <w:pPr>
        <w:tabs>
          <w:tab w:val="left" w:pos="720"/>
          <w:tab w:val="left" w:pos="1080"/>
          <w:tab w:val="left" w:pos="1530"/>
          <w:tab w:val="left" w:pos="1890"/>
        </w:tabs>
        <w:rPr>
          <w:szCs w:val="24"/>
        </w:rPr>
      </w:pPr>
    </w:p>
    <w:p w:rsidR="00C978A3" w:rsidRPr="00F70AC0" w:rsidRDefault="00C978A3" w:rsidP="00C978A3">
      <w:pPr>
        <w:tabs>
          <w:tab w:val="left" w:pos="720"/>
          <w:tab w:val="left" w:pos="1080"/>
          <w:tab w:val="left" w:pos="1530"/>
          <w:tab w:val="left" w:pos="1890"/>
        </w:tabs>
        <w:rPr>
          <w:szCs w:val="24"/>
        </w:rPr>
      </w:pPr>
      <w:r w:rsidRPr="00F70AC0">
        <w:rPr>
          <w:i/>
          <w:szCs w:val="24"/>
          <w:u w:val="single"/>
        </w:rPr>
        <w:t>Prewriting</w:t>
      </w:r>
    </w:p>
    <w:p w:rsidR="00C978A3" w:rsidRPr="00F70AC0" w:rsidRDefault="00C978A3" w:rsidP="00C978A3">
      <w:pPr>
        <w:tabs>
          <w:tab w:val="left" w:pos="720"/>
          <w:tab w:val="left" w:pos="1080"/>
          <w:tab w:val="left" w:pos="1530"/>
          <w:tab w:val="left" w:pos="1890"/>
        </w:tabs>
        <w:rPr>
          <w:szCs w:val="24"/>
        </w:rPr>
      </w:pPr>
      <w:r w:rsidRPr="00F70AC0">
        <w:rPr>
          <w:szCs w:val="24"/>
        </w:rPr>
        <w:t>Please choose one of the following options, read the articles, and write a ½-page (100 word minimum) statement of topic for your “classifying” essay, due at the beginning of class.  Bottom line: what “stuff” are you classifying, and what classification scheme are you using to classify it? (What categories are you putting the things into?) See below for more.</w:t>
      </w:r>
    </w:p>
    <w:p w:rsidR="00C978A3" w:rsidRPr="00F70AC0" w:rsidRDefault="00C978A3" w:rsidP="00C978A3">
      <w:pPr>
        <w:tabs>
          <w:tab w:val="left" w:pos="720"/>
          <w:tab w:val="left" w:pos="1080"/>
          <w:tab w:val="left" w:pos="1530"/>
          <w:tab w:val="left" w:pos="1890"/>
        </w:tabs>
        <w:rPr>
          <w:szCs w:val="24"/>
        </w:rPr>
      </w:pPr>
    </w:p>
    <w:p w:rsidR="00C978A3" w:rsidRPr="00F70AC0" w:rsidRDefault="00C978A3" w:rsidP="00C978A3">
      <w:pPr>
        <w:numPr>
          <w:ilvl w:val="0"/>
          <w:numId w:val="41"/>
        </w:numPr>
        <w:tabs>
          <w:tab w:val="left" w:pos="720"/>
          <w:tab w:val="left" w:pos="1080"/>
          <w:tab w:val="left" w:pos="1530"/>
          <w:tab w:val="left" w:pos="1890"/>
        </w:tabs>
        <w:ind w:left="720"/>
        <w:rPr>
          <w:szCs w:val="24"/>
        </w:rPr>
      </w:pPr>
      <w:r w:rsidRPr="00F70AC0">
        <w:rPr>
          <w:szCs w:val="24"/>
          <w:u w:val="single"/>
        </w:rPr>
        <w:t>Little Communities</w:t>
      </w:r>
      <w:r w:rsidRPr="00F70AC0">
        <w:rPr>
          <w:szCs w:val="24"/>
        </w:rPr>
        <w:t xml:space="preserve"> </w:t>
      </w:r>
    </w:p>
    <w:p w:rsidR="00C978A3" w:rsidRPr="00F70AC0" w:rsidRDefault="00C978A3" w:rsidP="00C978A3">
      <w:pPr>
        <w:numPr>
          <w:ilvl w:val="0"/>
          <w:numId w:val="41"/>
        </w:numPr>
        <w:tabs>
          <w:tab w:val="left" w:pos="720"/>
          <w:tab w:val="left" w:pos="1080"/>
          <w:tab w:val="left" w:pos="1530"/>
          <w:tab w:val="left" w:pos="1890"/>
        </w:tabs>
        <w:rPr>
          <w:szCs w:val="24"/>
        </w:rPr>
      </w:pPr>
      <w:r w:rsidRPr="00F70AC0">
        <w:rPr>
          <w:i/>
          <w:szCs w:val="24"/>
        </w:rPr>
        <w:t>Categories</w:t>
      </w:r>
      <w:r w:rsidRPr="00F70AC0">
        <w:rPr>
          <w:szCs w:val="24"/>
        </w:rPr>
        <w:t>: Robert Redfield, “Little Communities” (315-16).</w:t>
      </w:r>
    </w:p>
    <w:p w:rsidR="00C978A3" w:rsidRPr="00F70AC0" w:rsidRDefault="00C978A3" w:rsidP="002B5725">
      <w:pPr>
        <w:numPr>
          <w:ilvl w:val="0"/>
          <w:numId w:val="41"/>
        </w:numPr>
        <w:tabs>
          <w:tab w:val="left" w:pos="720"/>
          <w:tab w:val="left" w:pos="1080"/>
          <w:tab w:val="left" w:pos="1530"/>
          <w:tab w:val="left" w:pos="1890"/>
        </w:tabs>
        <w:rPr>
          <w:szCs w:val="24"/>
        </w:rPr>
      </w:pPr>
      <w:r w:rsidRPr="00F70AC0">
        <w:rPr>
          <w:i/>
          <w:szCs w:val="24"/>
        </w:rPr>
        <w:t>Materials</w:t>
      </w:r>
      <w:r w:rsidRPr="00F70AC0">
        <w:rPr>
          <w:szCs w:val="24"/>
        </w:rPr>
        <w:t xml:space="preserve">: Malcolm </w:t>
      </w:r>
      <w:proofErr w:type="spellStart"/>
      <w:r w:rsidRPr="00F70AC0">
        <w:rPr>
          <w:szCs w:val="24"/>
        </w:rPr>
        <w:t>Kiniry</w:t>
      </w:r>
      <w:proofErr w:type="spellEnd"/>
      <w:r w:rsidR="00DA4031" w:rsidRPr="00F70AC0">
        <w:rPr>
          <w:szCs w:val="24"/>
        </w:rPr>
        <w:t xml:space="preserve"> and Mike Rose,</w:t>
      </w:r>
      <w:r w:rsidRPr="00F70AC0">
        <w:rPr>
          <w:szCs w:val="24"/>
        </w:rPr>
        <w:t xml:space="preserve"> </w:t>
      </w:r>
      <w:r w:rsidR="00DA4031" w:rsidRPr="00F70AC0">
        <w:rPr>
          <w:szCs w:val="24"/>
        </w:rPr>
        <w:t>“Summaries of Studies on Community” (316-19).</w:t>
      </w:r>
      <w:r w:rsidR="002B5725" w:rsidRPr="00F70AC0">
        <w:rPr>
          <w:szCs w:val="24"/>
        </w:rPr>
        <w:t xml:space="preserve"> </w:t>
      </w:r>
      <w:r w:rsidRPr="00F70AC0">
        <w:rPr>
          <w:szCs w:val="24"/>
        </w:rPr>
        <w:t xml:space="preserve">Includes summaries of </w:t>
      </w:r>
      <w:proofErr w:type="spellStart"/>
      <w:r w:rsidRPr="00F70AC0">
        <w:rPr>
          <w:szCs w:val="24"/>
        </w:rPr>
        <w:t>Hualcan</w:t>
      </w:r>
      <w:proofErr w:type="spellEnd"/>
      <w:r w:rsidRPr="00F70AC0">
        <w:rPr>
          <w:szCs w:val="24"/>
        </w:rPr>
        <w:t xml:space="preserve">, Peru in 1952; Springdale, NY in 1958; the Vice Lords of Chicago in 1967; the </w:t>
      </w:r>
      <w:proofErr w:type="spellStart"/>
      <w:r w:rsidRPr="00F70AC0">
        <w:rPr>
          <w:szCs w:val="24"/>
        </w:rPr>
        <w:t>Iks</w:t>
      </w:r>
      <w:proofErr w:type="spellEnd"/>
      <w:r w:rsidRPr="00F70AC0">
        <w:rPr>
          <w:szCs w:val="24"/>
        </w:rPr>
        <w:t xml:space="preserve"> of Uganda in 1967; the Hutterites of Jasper, Canada in 1967.  Treat “Summaries” as a single source written by </w:t>
      </w:r>
      <w:proofErr w:type="spellStart"/>
      <w:r w:rsidRPr="00F70AC0">
        <w:rPr>
          <w:szCs w:val="24"/>
        </w:rPr>
        <w:t>Kiniry</w:t>
      </w:r>
      <w:proofErr w:type="spellEnd"/>
      <w:r w:rsidRPr="00F70AC0">
        <w:rPr>
          <w:szCs w:val="24"/>
        </w:rPr>
        <w:t xml:space="preserve"> and Rose; do not refer to the original writers/titles (e.g. Stein’s Life in the Highlands of Peru). Ignore textbook instructions on </w:t>
      </w:r>
      <w:r w:rsidR="00DA4031" w:rsidRPr="00F70AC0">
        <w:rPr>
          <w:szCs w:val="24"/>
        </w:rPr>
        <w:t>3</w:t>
      </w:r>
      <w:r w:rsidRPr="00F70AC0">
        <w:rPr>
          <w:szCs w:val="24"/>
        </w:rPr>
        <w:t>15.</w:t>
      </w:r>
    </w:p>
    <w:p w:rsidR="00C978A3" w:rsidRPr="00F70AC0" w:rsidRDefault="00C978A3" w:rsidP="00C978A3">
      <w:pPr>
        <w:tabs>
          <w:tab w:val="left" w:pos="720"/>
          <w:tab w:val="left" w:pos="1080"/>
          <w:tab w:val="left" w:pos="1530"/>
          <w:tab w:val="left" w:pos="1890"/>
        </w:tabs>
        <w:ind w:left="720" w:hanging="360"/>
        <w:rPr>
          <w:szCs w:val="24"/>
        </w:rPr>
      </w:pPr>
    </w:p>
    <w:p w:rsidR="00C978A3" w:rsidRPr="00F70AC0" w:rsidRDefault="00C978A3" w:rsidP="00C978A3">
      <w:pPr>
        <w:numPr>
          <w:ilvl w:val="0"/>
          <w:numId w:val="42"/>
        </w:numPr>
        <w:tabs>
          <w:tab w:val="left" w:pos="720"/>
          <w:tab w:val="left" w:pos="1080"/>
          <w:tab w:val="left" w:pos="1530"/>
          <w:tab w:val="left" w:pos="1890"/>
        </w:tabs>
        <w:ind w:left="720"/>
        <w:rPr>
          <w:szCs w:val="24"/>
        </w:rPr>
      </w:pPr>
      <w:r w:rsidRPr="00F70AC0">
        <w:rPr>
          <w:szCs w:val="24"/>
          <w:u w:val="single"/>
        </w:rPr>
        <w:t>Culture Shock</w:t>
      </w:r>
      <w:r w:rsidRPr="00F70AC0">
        <w:rPr>
          <w:szCs w:val="24"/>
        </w:rPr>
        <w:t xml:space="preserve"> </w:t>
      </w:r>
    </w:p>
    <w:p w:rsidR="00C978A3" w:rsidRPr="00F70AC0" w:rsidRDefault="00C978A3" w:rsidP="00C978A3">
      <w:pPr>
        <w:numPr>
          <w:ilvl w:val="0"/>
          <w:numId w:val="42"/>
        </w:numPr>
        <w:tabs>
          <w:tab w:val="left" w:pos="720"/>
          <w:tab w:val="left" w:pos="1080"/>
          <w:tab w:val="left" w:pos="1530"/>
          <w:tab w:val="left" w:pos="1890"/>
        </w:tabs>
        <w:rPr>
          <w:szCs w:val="24"/>
        </w:rPr>
      </w:pPr>
      <w:r w:rsidRPr="00F70AC0">
        <w:rPr>
          <w:i/>
          <w:szCs w:val="24"/>
        </w:rPr>
        <w:t>Categories</w:t>
      </w:r>
      <w:r w:rsidRPr="00F70AC0">
        <w:rPr>
          <w:szCs w:val="24"/>
        </w:rPr>
        <w:t>: Brink and Saunders, “Phases of Culture Shock” (331-33);</w:t>
      </w:r>
    </w:p>
    <w:p w:rsidR="00C978A3" w:rsidRPr="00F70AC0" w:rsidRDefault="00C978A3" w:rsidP="00C978A3">
      <w:pPr>
        <w:numPr>
          <w:ilvl w:val="0"/>
          <w:numId w:val="42"/>
        </w:numPr>
        <w:tabs>
          <w:tab w:val="left" w:pos="720"/>
          <w:tab w:val="left" w:pos="1080"/>
          <w:tab w:val="left" w:pos="1530"/>
          <w:tab w:val="left" w:pos="1890"/>
        </w:tabs>
        <w:rPr>
          <w:szCs w:val="24"/>
        </w:rPr>
      </w:pPr>
      <w:r w:rsidRPr="00F70AC0">
        <w:rPr>
          <w:i/>
          <w:szCs w:val="24"/>
        </w:rPr>
        <w:t>Materials</w:t>
      </w:r>
      <w:r w:rsidR="000C4024" w:rsidRPr="00F70AC0">
        <w:rPr>
          <w:szCs w:val="24"/>
        </w:rPr>
        <w:t xml:space="preserve">: Malcolm </w:t>
      </w:r>
      <w:proofErr w:type="spellStart"/>
      <w:r w:rsidR="000C4024" w:rsidRPr="00F70AC0">
        <w:rPr>
          <w:szCs w:val="24"/>
        </w:rPr>
        <w:t>Kiniry</w:t>
      </w:r>
      <w:proofErr w:type="spellEnd"/>
      <w:r w:rsidR="000C4024" w:rsidRPr="00F70AC0">
        <w:rPr>
          <w:szCs w:val="24"/>
        </w:rPr>
        <w:t xml:space="preserve"> and Mike Rose</w:t>
      </w:r>
      <w:r w:rsidRPr="00F70AC0">
        <w:rPr>
          <w:szCs w:val="24"/>
        </w:rPr>
        <w:t>, “I</w:t>
      </w:r>
      <w:r w:rsidR="00DA4031" w:rsidRPr="00F70AC0">
        <w:rPr>
          <w:szCs w:val="24"/>
        </w:rPr>
        <w:t xml:space="preserve">mmigrant Narratives” (333-47). </w:t>
      </w:r>
      <w:r w:rsidRPr="00F70AC0">
        <w:rPr>
          <w:szCs w:val="24"/>
        </w:rPr>
        <w:t xml:space="preserve">Includes the following excerpts:  Bentz, </w:t>
      </w:r>
      <w:r w:rsidRPr="00F70AC0">
        <w:rPr>
          <w:i/>
          <w:szCs w:val="24"/>
        </w:rPr>
        <w:t>New Immigrants</w:t>
      </w:r>
      <w:r w:rsidRPr="00F70AC0">
        <w:rPr>
          <w:szCs w:val="24"/>
        </w:rPr>
        <w:t xml:space="preserve">; </w:t>
      </w:r>
      <w:proofErr w:type="spellStart"/>
      <w:r w:rsidRPr="00F70AC0">
        <w:rPr>
          <w:szCs w:val="24"/>
        </w:rPr>
        <w:t>Portes</w:t>
      </w:r>
      <w:proofErr w:type="spellEnd"/>
      <w:r w:rsidRPr="00F70AC0">
        <w:rPr>
          <w:szCs w:val="24"/>
        </w:rPr>
        <w:t xml:space="preserve"> and </w:t>
      </w:r>
      <w:proofErr w:type="spellStart"/>
      <w:r w:rsidRPr="00F70AC0">
        <w:rPr>
          <w:szCs w:val="24"/>
        </w:rPr>
        <w:t>Rumbaut</w:t>
      </w:r>
      <w:proofErr w:type="spellEnd"/>
      <w:r w:rsidRPr="00F70AC0">
        <w:rPr>
          <w:szCs w:val="24"/>
        </w:rPr>
        <w:t xml:space="preserve">, </w:t>
      </w:r>
      <w:r w:rsidRPr="00F70AC0">
        <w:rPr>
          <w:i/>
          <w:szCs w:val="24"/>
        </w:rPr>
        <w:t>Immigrant America</w:t>
      </w:r>
      <w:r w:rsidRPr="00F70AC0">
        <w:rPr>
          <w:szCs w:val="24"/>
        </w:rPr>
        <w:t xml:space="preserve">; Santiago, </w:t>
      </w:r>
      <w:r w:rsidRPr="00F70AC0">
        <w:rPr>
          <w:i/>
          <w:szCs w:val="24"/>
        </w:rPr>
        <w:t>When I Was Puerto Rican</w:t>
      </w:r>
      <w:r w:rsidRPr="00F70AC0">
        <w:rPr>
          <w:szCs w:val="24"/>
        </w:rPr>
        <w:t xml:space="preserve">; </w:t>
      </w:r>
      <w:proofErr w:type="spellStart"/>
      <w:r w:rsidRPr="00F70AC0">
        <w:rPr>
          <w:szCs w:val="24"/>
        </w:rPr>
        <w:t>Kessner</w:t>
      </w:r>
      <w:proofErr w:type="spellEnd"/>
      <w:r w:rsidRPr="00F70AC0">
        <w:rPr>
          <w:szCs w:val="24"/>
        </w:rPr>
        <w:t xml:space="preserve"> and Caroli, </w:t>
      </w:r>
      <w:r w:rsidRPr="00F70AC0">
        <w:rPr>
          <w:i/>
          <w:szCs w:val="24"/>
        </w:rPr>
        <w:t>Today’s Immigrants</w:t>
      </w:r>
      <w:r w:rsidRPr="00F70AC0">
        <w:rPr>
          <w:szCs w:val="24"/>
        </w:rPr>
        <w:t xml:space="preserve">; </w:t>
      </w:r>
      <w:proofErr w:type="spellStart"/>
      <w:r w:rsidRPr="00F70AC0">
        <w:rPr>
          <w:szCs w:val="24"/>
        </w:rPr>
        <w:t>Steltzer</w:t>
      </w:r>
      <w:proofErr w:type="spellEnd"/>
      <w:r w:rsidRPr="00F70AC0">
        <w:rPr>
          <w:szCs w:val="24"/>
        </w:rPr>
        <w:t xml:space="preserve">, </w:t>
      </w:r>
      <w:r w:rsidRPr="00F70AC0">
        <w:rPr>
          <w:i/>
          <w:szCs w:val="24"/>
        </w:rPr>
        <w:t>The New Americans</w:t>
      </w:r>
      <w:r w:rsidRPr="00F70AC0">
        <w:rPr>
          <w:szCs w:val="24"/>
        </w:rPr>
        <w:t xml:space="preserve">. Treat “Immigrant Narratives” as a single source with no author; refer to the immigrants by name (e.g. Wood </w:t>
      </w:r>
      <w:proofErr w:type="spellStart"/>
      <w:r w:rsidRPr="00F70AC0">
        <w:rPr>
          <w:szCs w:val="24"/>
        </w:rPr>
        <w:t>Chuen</w:t>
      </w:r>
      <w:proofErr w:type="spellEnd"/>
      <w:r w:rsidRPr="00F70AC0">
        <w:rPr>
          <w:szCs w:val="24"/>
        </w:rPr>
        <w:t xml:space="preserve"> </w:t>
      </w:r>
      <w:proofErr w:type="spellStart"/>
      <w:r w:rsidRPr="00F70AC0">
        <w:rPr>
          <w:szCs w:val="24"/>
        </w:rPr>
        <w:t>Kwong</w:t>
      </w:r>
      <w:proofErr w:type="spellEnd"/>
      <w:r w:rsidRPr="00F70AC0">
        <w:rPr>
          <w:szCs w:val="24"/>
        </w:rPr>
        <w:t xml:space="preserve">), </w:t>
      </w:r>
      <w:r w:rsidRPr="00F70AC0">
        <w:rPr>
          <w:szCs w:val="24"/>
          <w:u w:val="single"/>
        </w:rPr>
        <w:t>not</w:t>
      </w:r>
      <w:r w:rsidRPr="00F70AC0">
        <w:rPr>
          <w:szCs w:val="24"/>
        </w:rPr>
        <w:t xml:space="preserve"> to the original authors/titles (e.g., Bentz’s </w:t>
      </w:r>
      <w:r w:rsidRPr="00F70AC0">
        <w:rPr>
          <w:i/>
          <w:szCs w:val="24"/>
        </w:rPr>
        <w:t>New Immigrants</w:t>
      </w:r>
      <w:r w:rsidRPr="00F70AC0">
        <w:rPr>
          <w:szCs w:val="24"/>
        </w:rPr>
        <w:t>).  Ignore textbook instructions.</w:t>
      </w:r>
    </w:p>
    <w:p w:rsidR="00C978A3" w:rsidRPr="00F70AC0" w:rsidRDefault="00C978A3" w:rsidP="00C978A3">
      <w:pPr>
        <w:tabs>
          <w:tab w:val="left" w:pos="720"/>
          <w:tab w:val="left" w:pos="1080"/>
          <w:tab w:val="left" w:pos="1530"/>
          <w:tab w:val="left" w:pos="1890"/>
        </w:tabs>
        <w:rPr>
          <w:szCs w:val="24"/>
        </w:rPr>
      </w:pPr>
    </w:p>
    <w:p w:rsidR="00C978A3" w:rsidRPr="00F70AC0" w:rsidRDefault="00C978A3" w:rsidP="00C978A3">
      <w:pPr>
        <w:tabs>
          <w:tab w:val="left" w:pos="720"/>
          <w:tab w:val="left" w:pos="1080"/>
          <w:tab w:val="left" w:pos="1530"/>
          <w:tab w:val="left" w:pos="1890"/>
        </w:tabs>
        <w:ind w:right="-144"/>
        <w:rPr>
          <w:szCs w:val="24"/>
        </w:rPr>
      </w:pPr>
      <w:r w:rsidRPr="00F70AC0">
        <w:rPr>
          <w:i/>
          <w:szCs w:val="24"/>
          <w:u w:val="single"/>
        </w:rPr>
        <w:t>Working and Final Drafts</w:t>
      </w:r>
    </w:p>
    <w:p w:rsidR="00C978A3" w:rsidRPr="00F70AC0" w:rsidRDefault="00C978A3" w:rsidP="00C978A3">
      <w:pPr>
        <w:tabs>
          <w:tab w:val="left" w:pos="720"/>
          <w:tab w:val="left" w:pos="1080"/>
          <w:tab w:val="left" w:pos="1530"/>
          <w:tab w:val="left" w:pos="1890"/>
        </w:tabs>
        <w:ind w:right="-144"/>
        <w:rPr>
          <w:szCs w:val="24"/>
        </w:rPr>
      </w:pPr>
      <w:r w:rsidRPr="00F70AC0">
        <w:rPr>
          <w:szCs w:val="24"/>
        </w:rPr>
        <w:t>As you write your Working and Final Drafts, please bear in mind these tasks:</w:t>
      </w:r>
    </w:p>
    <w:p w:rsidR="00C978A3" w:rsidRPr="00F70AC0" w:rsidRDefault="00C978A3" w:rsidP="00C978A3">
      <w:pPr>
        <w:pStyle w:val="Footer"/>
        <w:tabs>
          <w:tab w:val="clear" w:pos="4320"/>
          <w:tab w:val="clear" w:pos="8640"/>
          <w:tab w:val="left" w:pos="720"/>
          <w:tab w:val="left" w:pos="1080"/>
          <w:tab w:val="left" w:pos="1530"/>
          <w:tab w:val="left" w:pos="1890"/>
        </w:tabs>
        <w:jc w:val="center"/>
        <w:rPr>
          <w:szCs w:val="24"/>
        </w:rPr>
      </w:pPr>
    </w:p>
    <w:p w:rsidR="00C978A3" w:rsidRPr="00F70AC0" w:rsidRDefault="00C978A3" w:rsidP="00C978A3">
      <w:pPr>
        <w:numPr>
          <w:ilvl w:val="0"/>
          <w:numId w:val="43"/>
        </w:numPr>
        <w:tabs>
          <w:tab w:val="left" w:pos="720"/>
          <w:tab w:val="left" w:pos="1080"/>
          <w:tab w:val="left" w:pos="1530"/>
          <w:tab w:val="left" w:pos="1890"/>
        </w:tabs>
        <w:rPr>
          <w:szCs w:val="24"/>
        </w:rPr>
      </w:pPr>
      <w:r w:rsidRPr="00F70AC0">
        <w:rPr>
          <w:szCs w:val="24"/>
          <w:u w:val="single"/>
        </w:rPr>
        <w:t>Essay Purpose</w:t>
      </w:r>
      <w:r w:rsidRPr="00F70AC0">
        <w:rPr>
          <w:szCs w:val="24"/>
        </w:rPr>
        <w:t>.  Both options (“Little Communities” and “Culture Shock”) present you with a ready-made classification scheme (Redfield’s four criteria for a little community and Brink’s and Saunders’ four phases of culture shock).  You’re being asked to apply the ready-made classification scheme to the other articles (the five “community” summaries or the five immigrant narratives) and explain in detail how each of the communities or immigrant experiences conforms to the criteria laid out in the classification scheme.  In other words, the first article supplies the categories (the four criteria of smallness and the four phases of culture shock), and your job is to place the communities or immigrant narratives from the second article in the relevant categories, and explain how and why each belongs in a the category.</w:t>
      </w:r>
    </w:p>
    <w:p w:rsidR="00C978A3" w:rsidRPr="00F70AC0" w:rsidRDefault="00C978A3" w:rsidP="00C978A3">
      <w:pPr>
        <w:tabs>
          <w:tab w:val="left" w:pos="720"/>
          <w:tab w:val="left" w:pos="1080"/>
          <w:tab w:val="left" w:pos="1530"/>
          <w:tab w:val="left" w:pos="1890"/>
        </w:tabs>
        <w:rPr>
          <w:szCs w:val="24"/>
        </w:rPr>
      </w:pPr>
    </w:p>
    <w:p w:rsidR="00C978A3" w:rsidRPr="00F70AC0" w:rsidRDefault="00C978A3" w:rsidP="00C978A3">
      <w:pPr>
        <w:numPr>
          <w:ilvl w:val="0"/>
          <w:numId w:val="43"/>
        </w:numPr>
        <w:rPr>
          <w:szCs w:val="24"/>
        </w:rPr>
      </w:pPr>
      <w:r w:rsidRPr="00F70AC0">
        <w:rPr>
          <w:szCs w:val="24"/>
          <w:u w:val="single"/>
        </w:rPr>
        <w:t>Essay Organization</w:t>
      </w:r>
      <w:r w:rsidRPr="00F70AC0">
        <w:rPr>
          <w:szCs w:val="24"/>
        </w:rPr>
        <w:t xml:space="preserve">.  Your classification essay will need an absolute minimum of five paragraphs—an introduction and at least one paragraph per category, possibly more than one per category. (It doesn’t need a conclusion.)  Remember that you’re organizing your essay and its paragraphs by </w:t>
      </w:r>
      <w:r w:rsidRPr="00F70AC0">
        <w:rPr>
          <w:szCs w:val="24"/>
          <w:u w:val="single"/>
        </w:rPr>
        <w:t>categories</w:t>
      </w:r>
      <w:r w:rsidRPr="00F70AC0">
        <w:rPr>
          <w:szCs w:val="24"/>
        </w:rPr>
        <w:t xml:space="preserve"> (or criteria or definitions or phases or whatever), not by “variables” (co</w:t>
      </w:r>
      <w:r w:rsidR="00292247" w:rsidRPr="00F70AC0">
        <w:rPr>
          <w:szCs w:val="24"/>
        </w:rPr>
        <w:t>mmunities, immigrant narratives</w:t>
      </w:r>
      <w:r w:rsidRPr="00F70AC0">
        <w:rPr>
          <w:szCs w:val="24"/>
        </w:rPr>
        <w:t xml:space="preserve">):  each of your paragraphs will be about a category and will do two things: 1) give an extended definition of the category and then 2) ask whether </w:t>
      </w:r>
      <w:r w:rsidRPr="00F70AC0">
        <w:rPr>
          <w:szCs w:val="24"/>
          <w:u w:val="single"/>
        </w:rPr>
        <w:t>each</w:t>
      </w:r>
      <w:r w:rsidRPr="00F70AC0">
        <w:rPr>
          <w:szCs w:val="24"/>
        </w:rPr>
        <w:t xml:space="preserve"> of the variables (five for the communities and immigrants) fits the category and explain </w:t>
      </w:r>
      <w:r w:rsidRPr="00F70AC0">
        <w:rPr>
          <w:i/>
          <w:szCs w:val="24"/>
        </w:rPr>
        <w:t>why</w:t>
      </w:r>
      <w:r w:rsidRPr="00F70AC0">
        <w:rPr>
          <w:szCs w:val="24"/>
        </w:rPr>
        <w:t xml:space="preserve"> or </w:t>
      </w:r>
      <w:r w:rsidRPr="00F70AC0">
        <w:rPr>
          <w:i/>
          <w:szCs w:val="24"/>
        </w:rPr>
        <w:t>why not</w:t>
      </w:r>
      <w:r w:rsidRPr="00F70AC0">
        <w:rPr>
          <w:szCs w:val="24"/>
        </w:rPr>
        <w:t>.</w:t>
      </w:r>
    </w:p>
    <w:p w:rsidR="002E39EF" w:rsidRPr="00F70AC0" w:rsidRDefault="002E39EF" w:rsidP="002E39EF">
      <w:pPr>
        <w:ind w:left="1080" w:hanging="360"/>
        <w:rPr>
          <w:szCs w:val="24"/>
        </w:rPr>
      </w:pPr>
      <w:r w:rsidRPr="00F70AC0">
        <w:rPr>
          <w:szCs w:val="24"/>
        </w:rPr>
        <w:t>Here’s a rough outline of what your paragraphs will look like:</w:t>
      </w:r>
    </w:p>
    <w:p w:rsidR="002E39EF" w:rsidRDefault="002E39EF" w:rsidP="002E39EF">
      <w:pPr>
        <w:ind w:left="1080" w:hanging="360"/>
        <w:rPr>
          <w:sz w:val="23"/>
          <w:szCs w:val="23"/>
        </w:rPr>
      </w:pPr>
    </w:p>
    <w:tbl>
      <w:tblPr>
        <w:tblW w:w="0" w:type="auto"/>
        <w:jc w:val="center"/>
        <w:tblLayout w:type="fixed"/>
        <w:tblLook w:val="0007" w:firstRow="0" w:lastRow="0" w:firstColumn="0" w:lastColumn="0" w:noHBand="0" w:noVBand="0"/>
      </w:tblPr>
      <w:tblGrid>
        <w:gridCol w:w="6480"/>
      </w:tblGrid>
      <w:tr w:rsidR="002E39EF" w:rsidRPr="00E37A76" w:rsidTr="00F3736A">
        <w:tblPrEx>
          <w:tblCellMar>
            <w:top w:w="0" w:type="dxa"/>
            <w:bottom w:w="0" w:type="dxa"/>
          </w:tblCellMar>
        </w:tblPrEx>
        <w:trPr>
          <w:jc w:val="center"/>
        </w:trPr>
        <w:tc>
          <w:tcPr>
            <w:tcW w:w="6480" w:type="dxa"/>
            <w:tcBorders>
              <w:top w:val="single" w:sz="6" w:space="0" w:color="000000"/>
              <w:left w:val="single" w:sz="6" w:space="0" w:color="000000"/>
              <w:bottom w:val="single" w:sz="6" w:space="0" w:color="000000"/>
              <w:right w:val="single" w:sz="6" w:space="0" w:color="000000"/>
            </w:tcBorders>
            <w:shd w:val="pct10" w:color="auto" w:fill="auto"/>
          </w:tcPr>
          <w:p w:rsidR="002E39EF" w:rsidRPr="00FC3F4C" w:rsidRDefault="002E39EF" w:rsidP="00F3736A">
            <w:pPr>
              <w:jc w:val="center"/>
              <w:rPr>
                <w:sz w:val="28"/>
                <w:szCs w:val="28"/>
              </w:rPr>
            </w:pPr>
            <w:r w:rsidRPr="00FC3F4C">
              <w:rPr>
                <w:sz w:val="28"/>
                <w:szCs w:val="28"/>
              </w:rPr>
              <w:t>Introduction (½ page?)</w:t>
            </w:r>
          </w:p>
        </w:tc>
      </w:tr>
      <w:tr w:rsidR="002E39EF" w:rsidRPr="0046634D" w:rsidTr="00F3736A">
        <w:tblPrEx>
          <w:tblCellMar>
            <w:top w:w="0" w:type="dxa"/>
            <w:bottom w:w="0" w:type="dxa"/>
          </w:tblCellMar>
        </w:tblPrEx>
        <w:trPr>
          <w:jc w:val="center"/>
        </w:trPr>
        <w:tc>
          <w:tcPr>
            <w:tcW w:w="6480" w:type="dxa"/>
            <w:tcBorders>
              <w:left w:val="single" w:sz="6" w:space="0" w:color="000000"/>
              <w:right w:val="single" w:sz="6" w:space="0" w:color="000000"/>
            </w:tcBorders>
          </w:tcPr>
          <w:p w:rsidR="002E39EF" w:rsidRPr="00FC3F4C" w:rsidRDefault="002E39EF" w:rsidP="00F3736A">
            <w:pPr>
              <w:numPr>
                <w:ilvl w:val="0"/>
                <w:numId w:val="50"/>
              </w:numPr>
              <w:ind w:left="216" w:hanging="216"/>
              <w:rPr>
                <w:szCs w:val="24"/>
              </w:rPr>
            </w:pPr>
            <w:r w:rsidRPr="00FC3F4C">
              <w:rPr>
                <w:szCs w:val="24"/>
              </w:rPr>
              <w:t>Statement of authors and authors</w:t>
            </w:r>
            <w:r>
              <w:rPr>
                <w:szCs w:val="24"/>
              </w:rPr>
              <w:t xml:space="preserve"> (see assignment below</w:t>
            </w:r>
            <w:r w:rsidRPr="00FC3F4C">
              <w:rPr>
                <w:szCs w:val="24"/>
              </w:rPr>
              <w:t>)</w:t>
            </w:r>
          </w:p>
          <w:p w:rsidR="002E39EF" w:rsidRPr="00FC3F4C" w:rsidRDefault="002E39EF" w:rsidP="00F3736A">
            <w:pPr>
              <w:numPr>
                <w:ilvl w:val="0"/>
                <w:numId w:val="50"/>
              </w:numPr>
              <w:ind w:left="216" w:hanging="216"/>
              <w:rPr>
                <w:szCs w:val="24"/>
              </w:rPr>
            </w:pPr>
            <w:r w:rsidRPr="00FC3F4C">
              <w:rPr>
                <w:szCs w:val="24"/>
              </w:rPr>
              <w:t>Brief definition of the categories</w:t>
            </w:r>
            <w:r>
              <w:rPr>
                <w:szCs w:val="24"/>
              </w:rPr>
              <w:t xml:space="preserve"> (see below</w:t>
            </w:r>
            <w:r w:rsidRPr="00FC3F4C">
              <w:rPr>
                <w:szCs w:val="24"/>
              </w:rPr>
              <w:t>)</w:t>
            </w:r>
          </w:p>
          <w:p w:rsidR="002E39EF" w:rsidRPr="00FC3F4C" w:rsidRDefault="002E39EF" w:rsidP="00F3736A">
            <w:pPr>
              <w:numPr>
                <w:ilvl w:val="0"/>
                <w:numId w:val="50"/>
              </w:numPr>
              <w:ind w:left="216" w:hanging="216"/>
              <w:rPr>
                <w:szCs w:val="24"/>
              </w:rPr>
            </w:pPr>
            <w:r w:rsidRPr="00FC3F4C">
              <w:rPr>
                <w:szCs w:val="24"/>
              </w:rPr>
              <w:t>Brief description of the varia</w:t>
            </w:r>
            <w:r>
              <w:rPr>
                <w:szCs w:val="24"/>
              </w:rPr>
              <w:t>bles to be classified (see below</w:t>
            </w:r>
            <w:r w:rsidRPr="00FC3F4C">
              <w:rPr>
                <w:szCs w:val="24"/>
              </w:rPr>
              <w:t>)</w:t>
            </w:r>
          </w:p>
        </w:tc>
      </w:tr>
      <w:tr w:rsidR="002E39EF" w:rsidRPr="0046634D" w:rsidTr="00F3736A">
        <w:tblPrEx>
          <w:tblCellMar>
            <w:top w:w="0" w:type="dxa"/>
            <w:bottom w:w="0" w:type="dxa"/>
          </w:tblCellMar>
        </w:tblPrEx>
        <w:trPr>
          <w:jc w:val="center"/>
        </w:trPr>
        <w:tc>
          <w:tcPr>
            <w:tcW w:w="6480" w:type="dxa"/>
            <w:tcBorders>
              <w:left w:val="single" w:sz="6" w:space="0" w:color="000000"/>
              <w:bottom w:val="single" w:sz="6" w:space="0" w:color="000000"/>
              <w:right w:val="single" w:sz="6" w:space="0" w:color="000000"/>
            </w:tcBorders>
          </w:tcPr>
          <w:p w:rsidR="002E39EF" w:rsidRPr="00FC3F4C" w:rsidRDefault="002E39EF" w:rsidP="00F3736A">
            <w:pPr>
              <w:numPr>
                <w:ilvl w:val="0"/>
                <w:numId w:val="50"/>
              </w:numPr>
              <w:ind w:left="216" w:hanging="216"/>
              <w:rPr>
                <w:szCs w:val="24"/>
              </w:rPr>
            </w:pPr>
            <w:r w:rsidRPr="00FC3F4C">
              <w:rPr>
                <w:szCs w:val="24"/>
              </w:rPr>
              <w:t>Statement of thesis:  what are you</w:t>
            </w:r>
            <w:r>
              <w:rPr>
                <w:szCs w:val="24"/>
              </w:rPr>
              <w:t xml:space="preserve"> doing in this essay? (see below</w:t>
            </w:r>
            <w:r w:rsidRPr="00FC3F4C">
              <w:rPr>
                <w:szCs w:val="24"/>
              </w:rPr>
              <w:t>)</w:t>
            </w:r>
          </w:p>
        </w:tc>
      </w:tr>
      <w:tr w:rsidR="002E39EF" w:rsidRPr="00E37A76" w:rsidTr="00F3736A">
        <w:tblPrEx>
          <w:tblCellMar>
            <w:top w:w="0" w:type="dxa"/>
            <w:bottom w:w="0" w:type="dxa"/>
          </w:tblCellMar>
        </w:tblPrEx>
        <w:trPr>
          <w:jc w:val="center"/>
        </w:trPr>
        <w:tc>
          <w:tcPr>
            <w:tcW w:w="6480" w:type="dxa"/>
            <w:tcBorders>
              <w:top w:val="single" w:sz="6" w:space="0" w:color="000000"/>
              <w:left w:val="single" w:sz="6" w:space="0" w:color="000000"/>
              <w:bottom w:val="single" w:sz="6" w:space="0" w:color="000000"/>
              <w:right w:val="single" w:sz="6" w:space="0" w:color="000000"/>
            </w:tcBorders>
            <w:shd w:val="pct10" w:color="auto" w:fill="auto"/>
          </w:tcPr>
          <w:p w:rsidR="002E39EF" w:rsidRPr="00FC3F4C" w:rsidRDefault="002E39EF" w:rsidP="00F3736A">
            <w:pPr>
              <w:jc w:val="center"/>
              <w:rPr>
                <w:sz w:val="28"/>
                <w:szCs w:val="28"/>
              </w:rPr>
            </w:pPr>
            <w:r w:rsidRPr="00FC3F4C">
              <w:rPr>
                <w:sz w:val="28"/>
                <w:szCs w:val="28"/>
              </w:rPr>
              <w:t>Category 1 (½</w:t>
            </w:r>
            <w:r>
              <w:rPr>
                <w:sz w:val="28"/>
                <w:szCs w:val="28"/>
              </w:rPr>
              <w:t xml:space="preserve">-¾ </w:t>
            </w:r>
            <w:r w:rsidRPr="00FC3F4C">
              <w:rPr>
                <w:sz w:val="28"/>
                <w:szCs w:val="28"/>
              </w:rPr>
              <w:t>page?)</w:t>
            </w:r>
          </w:p>
        </w:tc>
      </w:tr>
      <w:tr w:rsidR="002E39EF" w:rsidRPr="00E37A76" w:rsidTr="00F3736A">
        <w:tblPrEx>
          <w:tblCellMar>
            <w:top w:w="0" w:type="dxa"/>
            <w:bottom w:w="0" w:type="dxa"/>
          </w:tblCellMar>
        </w:tblPrEx>
        <w:trPr>
          <w:jc w:val="center"/>
        </w:trPr>
        <w:tc>
          <w:tcPr>
            <w:tcW w:w="6480" w:type="dxa"/>
            <w:tcBorders>
              <w:top w:val="single" w:sz="6" w:space="0" w:color="000000"/>
              <w:left w:val="single" w:sz="6" w:space="0" w:color="000000"/>
              <w:bottom w:val="single" w:sz="6" w:space="0" w:color="000000"/>
              <w:right w:val="single" w:sz="6" w:space="0" w:color="000000"/>
            </w:tcBorders>
            <w:shd w:val="clear" w:color="auto" w:fill="auto"/>
          </w:tcPr>
          <w:p w:rsidR="002E39EF" w:rsidRPr="0034784E" w:rsidRDefault="002E39EF" w:rsidP="00F3736A">
            <w:pPr>
              <w:numPr>
                <w:ilvl w:val="0"/>
                <w:numId w:val="50"/>
              </w:numPr>
              <w:ind w:left="216" w:hanging="216"/>
              <w:rPr>
                <w:szCs w:val="24"/>
              </w:rPr>
            </w:pPr>
            <w:r w:rsidRPr="00FC3F4C">
              <w:rPr>
                <w:szCs w:val="24"/>
              </w:rPr>
              <w:t>Extende</w:t>
            </w:r>
            <w:r>
              <w:rPr>
                <w:szCs w:val="24"/>
              </w:rPr>
              <w:t xml:space="preserve">d definition of the category or criterion or phase (i.e., the phases of culture shock or the criteria defining a little community):  </w:t>
            </w:r>
            <w:r w:rsidRPr="00FC3F4C">
              <w:rPr>
                <w:szCs w:val="24"/>
                <w:u w:val="single"/>
              </w:rPr>
              <w:t>quote</w:t>
            </w:r>
            <w:r>
              <w:rPr>
                <w:szCs w:val="24"/>
              </w:rPr>
              <w:t xml:space="preserve"> the definition, then </w:t>
            </w:r>
            <w:r w:rsidRPr="00FC3F4C">
              <w:rPr>
                <w:szCs w:val="24"/>
                <w:u w:val="single"/>
              </w:rPr>
              <w:t>explain/clarify</w:t>
            </w:r>
            <w:r>
              <w:rPr>
                <w:szCs w:val="24"/>
              </w:rPr>
              <w:t xml:space="preserve"> it.</w:t>
            </w:r>
          </w:p>
          <w:p w:rsidR="002E39EF" w:rsidRPr="0034784E" w:rsidRDefault="002E39EF" w:rsidP="00F3736A">
            <w:pPr>
              <w:numPr>
                <w:ilvl w:val="0"/>
                <w:numId w:val="50"/>
              </w:numPr>
              <w:ind w:left="216" w:hanging="216"/>
              <w:rPr>
                <w:szCs w:val="24"/>
              </w:rPr>
            </w:pPr>
            <w:r>
              <w:rPr>
                <w:szCs w:val="24"/>
              </w:rPr>
              <w:t xml:space="preserve">Analysis of how and why each variable (each immigrant narrative or little community) matches or doesn’t fit the category.  </w:t>
            </w:r>
            <w:r w:rsidRPr="0034784E">
              <w:rPr>
                <w:szCs w:val="24"/>
                <w:u w:val="single"/>
              </w:rPr>
              <w:t>Quote</w:t>
            </w:r>
            <w:r>
              <w:rPr>
                <w:szCs w:val="24"/>
              </w:rPr>
              <w:t xml:space="preserve"> and </w:t>
            </w:r>
            <w:r w:rsidRPr="00F70AC0">
              <w:rPr>
                <w:szCs w:val="24"/>
                <w:u w:val="single"/>
              </w:rPr>
              <w:t>explain</w:t>
            </w:r>
            <w:r>
              <w:rPr>
                <w:szCs w:val="24"/>
              </w:rPr>
              <w:t xml:space="preserve"> the evidence of how and why the variable fits.  Discuss each variable separately, one after another.  Discuss the variables that fit first and those that don’t at the end of the paragraph. It’ll be a long paragraph; many writers write a whole page per paragraph.</w:t>
            </w:r>
          </w:p>
        </w:tc>
      </w:tr>
      <w:tr w:rsidR="002E39EF" w:rsidRPr="0046634D" w:rsidTr="00F3736A">
        <w:tblPrEx>
          <w:tblCellMar>
            <w:top w:w="0" w:type="dxa"/>
            <w:bottom w:w="0" w:type="dxa"/>
          </w:tblCellMar>
        </w:tblPrEx>
        <w:trPr>
          <w:jc w:val="center"/>
        </w:trPr>
        <w:tc>
          <w:tcPr>
            <w:tcW w:w="6480" w:type="dxa"/>
            <w:tcBorders>
              <w:top w:val="single" w:sz="6" w:space="0" w:color="000000"/>
              <w:left w:val="single" w:sz="6" w:space="0" w:color="000000"/>
              <w:bottom w:val="single" w:sz="6" w:space="0" w:color="000000"/>
              <w:right w:val="single" w:sz="6" w:space="0" w:color="000000"/>
            </w:tcBorders>
            <w:shd w:val="pct10" w:color="auto" w:fill="auto"/>
          </w:tcPr>
          <w:p w:rsidR="002E39EF" w:rsidRPr="00FC3F4C" w:rsidRDefault="002E39EF" w:rsidP="00F3736A">
            <w:pPr>
              <w:jc w:val="center"/>
              <w:rPr>
                <w:sz w:val="28"/>
                <w:szCs w:val="28"/>
              </w:rPr>
            </w:pPr>
            <w:r>
              <w:rPr>
                <w:sz w:val="28"/>
                <w:szCs w:val="28"/>
              </w:rPr>
              <w:t>Categories 2-4</w:t>
            </w:r>
            <w:r w:rsidRPr="00FC3F4C">
              <w:rPr>
                <w:sz w:val="28"/>
                <w:szCs w:val="28"/>
              </w:rPr>
              <w:t xml:space="preserve"> (½</w:t>
            </w:r>
            <w:r>
              <w:rPr>
                <w:sz w:val="28"/>
                <w:szCs w:val="28"/>
              </w:rPr>
              <w:t xml:space="preserve">-¾ </w:t>
            </w:r>
            <w:r w:rsidRPr="00FC3F4C">
              <w:rPr>
                <w:sz w:val="28"/>
                <w:szCs w:val="28"/>
              </w:rPr>
              <w:t>page</w:t>
            </w:r>
            <w:r>
              <w:rPr>
                <w:sz w:val="28"/>
                <w:szCs w:val="28"/>
              </w:rPr>
              <w:t xml:space="preserve"> each</w:t>
            </w:r>
            <w:r w:rsidRPr="00FC3F4C">
              <w:rPr>
                <w:sz w:val="28"/>
                <w:szCs w:val="28"/>
              </w:rPr>
              <w:t>?)</w:t>
            </w:r>
          </w:p>
        </w:tc>
      </w:tr>
      <w:tr w:rsidR="002E39EF" w:rsidRPr="00E37A76" w:rsidTr="00F3736A">
        <w:tblPrEx>
          <w:tblCellMar>
            <w:top w:w="0" w:type="dxa"/>
            <w:bottom w:w="0" w:type="dxa"/>
          </w:tblCellMar>
        </w:tblPrEx>
        <w:trPr>
          <w:jc w:val="center"/>
        </w:trPr>
        <w:tc>
          <w:tcPr>
            <w:tcW w:w="6480" w:type="dxa"/>
            <w:tcBorders>
              <w:top w:val="single" w:sz="6" w:space="0" w:color="000000"/>
              <w:left w:val="single" w:sz="6" w:space="0" w:color="000000"/>
              <w:bottom w:val="single" w:sz="6" w:space="0" w:color="000000"/>
              <w:right w:val="single" w:sz="6" w:space="0" w:color="000000"/>
            </w:tcBorders>
            <w:shd w:val="clear" w:color="auto" w:fill="auto"/>
          </w:tcPr>
          <w:p w:rsidR="002E39EF" w:rsidRPr="00F70AC0" w:rsidRDefault="002E39EF" w:rsidP="00F3736A">
            <w:pPr>
              <w:rPr>
                <w:szCs w:val="24"/>
              </w:rPr>
            </w:pPr>
            <w:r>
              <w:rPr>
                <w:szCs w:val="24"/>
              </w:rPr>
              <w:t>Duplicate</w:t>
            </w:r>
            <w:r w:rsidRPr="00F70AC0">
              <w:rPr>
                <w:szCs w:val="24"/>
              </w:rPr>
              <w:t xml:space="preserve"> Category 1 </w:t>
            </w:r>
            <w:r>
              <w:rPr>
                <w:szCs w:val="24"/>
              </w:rPr>
              <w:t>above for each of the other categories.</w:t>
            </w:r>
          </w:p>
        </w:tc>
      </w:tr>
      <w:tr w:rsidR="002E39EF" w:rsidRPr="00E37A76" w:rsidTr="00F3736A">
        <w:tblPrEx>
          <w:tblCellMar>
            <w:top w:w="0" w:type="dxa"/>
            <w:bottom w:w="0" w:type="dxa"/>
          </w:tblCellMar>
        </w:tblPrEx>
        <w:trPr>
          <w:jc w:val="center"/>
        </w:trPr>
        <w:tc>
          <w:tcPr>
            <w:tcW w:w="6480" w:type="dxa"/>
            <w:tcBorders>
              <w:top w:val="single" w:sz="6" w:space="0" w:color="000000"/>
              <w:left w:val="single" w:sz="6" w:space="0" w:color="000000"/>
              <w:bottom w:val="single" w:sz="6" w:space="0" w:color="000000"/>
              <w:right w:val="single" w:sz="6" w:space="0" w:color="000000"/>
            </w:tcBorders>
            <w:shd w:val="pct10" w:color="auto" w:fill="auto"/>
          </w:tcPr>
          <w:p w:rsidR="002E39EF" w:rsidRPr="0034784E" w:rsidRDefault="002E39EF" w:rsidP="00F3736A">
            <w:pPr>
              <w:jc w:val="center"/>
              <w:rPr>
                <w:sz w:val="28"/>
                <w:szCs w:val="28"/>
              </w:rPr>
            </w:pPr>
            <w:r w:rsidRPr="0034784E">
              <w:rPr>
                <w:sz w:val="28"/>
                <w:szCs w:val="28"/>
              </w:rPr>
              <w:t>Conclusion</w:t>
            </w:r>
          </w:p>
        </w:tc>
      </w:tr>
      <w:tr w:rsidR="002E39EF" w:rsidRPr="0046634D" w:rsidTr="00F3736A">
        <w:tblPrEx>
          <w:tblCellMar>
            <w:top w:w="0" w:type="dxa"/>
            <w:bottom w:w="0" w:type="dxa"/>
          </w:tblCellMar>
        </w:tblPrEx>
        <w:trPr>
          <w:jc w:val="center"/>
        </w:trPr>
        <w:tc>
          <w:tcPr>
            <w:tcW w:w="6480" w:type="dxa"/>
            <w:tcBorders>
              <w:top w:val="single" w:sz="6" w:space="0" w:color="000000"/>
              <w:left w:val="single" w:sz="6" w:space="0" w:color="000000"/>
              <w:bottom w:val="single" w:sz="6" w:space="0" w:color="000000"/>
              <w:right w:val="single" w:sz="6" w:space="0" w:color="000000"/>
            </w:tcBorders>
          </w:tcPr>
          <w:p w:rsidR="002E39EF" w:rsidRPr="0034784E" w:rsidRDefault="002E39EF" w:rsidP="00F3736A">
            <w:pPr>
              <w:rPr>
                <w:szCs w:val="24"/>
              </w:rPr>
            </w:pPr>
            <w:r>
              <w:rPr>
                <w:szCs w:val="24"/>
              </w:rPr>
              <w:t>You don’t need one—for one thing, you won’t have room as you’ll probably cover three pages easily in this one.</w:t>
            </w:r>
            <w:r w:rsidRPr="0034784E">
              <w:rPr>
                <w:szCs w:val="24"/>
              </w:rPr>
              <w:t xml:space="preserve"> When you’re finished with classifying the last variables into the last category, you’re done.  If you revise this essay as your Portfolio Revision, </w:t>
            </w:r>
            <w:r>
              <w:rPr>
                <w:szCs w:val="24"/>
              </w:rPr>
              <w:t xml:space="preserve">you can add a conclusion then by summarizing your findings to tell us which variables qualified overall (which immigrants underwent which phases of culture shock, which communities met which criteria of a little community. </w:t>
            </w:r>
          </w:p>
        </w:tc>
      </w:tr>
    </w:tbl>
    <w:p w:rsidR="002E39EF" w:rsidRDefault="002E39EF" w:rsidP="002E39EF">
      <w:pPr>
        <w:ind w:left="1080" w:hanging="360"/>
        <w:rPr>
          <w:sz w:val="23"/>
          <w:szCs w:val="23"/>
        </w:rPr>
      </w:pPr>
    </w:p>
    <w:p w:rsidR="00C978A3" w:rsidRPr="00F70AC0" w:rsidRDefault="00C978A3" w:rsidP="00C978A3">
      <w:pPr>
        <w:rPr>
          <w:szCs w:val="24"/>
        </w:rPr>
      </w:pPr>
    </w:p>
    <w:p w:rsidR="00C978A3" w:rsidRPr="00F70AC0" w:rsidRDefault="00C978A3" w:rsidP="00C978A3">
      <w:pPr>
        <w:numPr>
          <w:ilvl w:val="0"/>
          <w:numId w:val="43"/>
        </w:numPr>
        <w:rPr>
          <w:szCs w:val="24"/>
        </w:rPr>
      </w:pPr>
      <w:r w:rsidRPr="00F70AC0">
        <w:rPr>
          <w:szCs w:val="24"/>
          <w:u w:val="single"/>
        </w:rPr>
        <w:t>Introductory Paragraph</w:t>
      </w:r>
      <w:r w:rsidRPr="00F70AC0">
        <w:rPr>
          <w:szCs w:val="24"/>
        </w:rPr>
        <w:t xml:space="preserve">.  The first paragraph needs to include minimally the following:  1) a statement of what your source titles and who the authors (where relevant) are; 2) a brief definition of each of your categories (some will be self-explanatory while others will need a short clause to define them, but there’s probably no need to quote the source here); 3) a brief descriptive list of the “variables” or “materials” or “stuff” you’re classifying (the specific communities, immigrant narratives, writer’s metaphors, or paragraph types: this might be done in one </w:t>
      </w:r>
      <w:r w:rsidRPr="00F70AC0">
        <w:rPr>
          <w:i/>
          <w:szCs w:val="24"/>
        </w:rPr>
        <w:t>very</w:t>
      </w:r>
      <w:r w:rsidRPr="00F70AC0">
        <w:rPr>
          <w:szCs w:val="24"/>
        </w:rPr>
        <w:t xml:space="preserve"> long sentence); and 4) a statement of thesis that tells us you’re going to use the categories or criteria or definitions or phases of one article to </w:t>
      </w:r>
      <w:r w:rsidRPr="00F70AC0">
        <w:rPr>
          <w:szCs w:val="24"/>
          <w:u w:val="single"/>
        </w:rPr>
        <w:t>classify</w:t>
      </w:r>
      <w:r w:rsidRPr="00F70AC0">
        <w:rPr>
          <w:szCs w:val="24"/>
        </w:rPr>
        <w:t xml:space="preserve"> the variables or materials or stuff (see above) of the other article.</w:t>
      </w:r>
    </w:p>
    <w:p w:rsidR="00C978A3" w:rsidRPr="00F70AC0" w:rsidRDefault="00C978A3" w:rsidP="00C978A3">
      <w:pPr>
        <w:rPr>
          <w:szCs w:val="24"/>
        </w:rPr>
      </w:pPr>
    </w:p>
    <w:p w:rsidR="00C978A3" w:rsidRPr="00F70AC0" w:rsidRDefault="00C978A3" w:rsidP="00C978A3">
      <w:pPr>
        <w:numPr>
          <w:ilvl w:val="0"/>
          <w:numId w:val="43"/>
        </w:numPr>
        <w:rPr>
          <w:szCs w:val="24"/>
        </w:rPr>
      </w:pPr>
      <w:r w:rsidRPr="00F70AC0">
        <w:rPr>
          <w:szCs w:val="24"/>
          <w:u w:val="single"/>
        </w:rPr>
        <w:t>“Category” Paragraphs</w:t>
      </w:r>
      <w:r w:rsidRPr="00F70AC0">
        <w:rPr>
          <w:szCs w:val="24"/>
        </w:rPr>
        <w:t xml:space="preserve">.  After the introductory paragraph, each of your paragraphs will be about  a single </w:t>
      </w:r>
      <w:r w:rsidRPr="00F70AC0">
        <w:rPr>
          <w:szCs w:val="24"/>
          <w:u w:val="single"/>
        </w:rPr>
        <w:t>category</w:t>
      </w:r>
      <w:r w:rsidRPr="00F70AC0">
        <w:rPr>
          <w:szCs w:val="24"/>
        </w:rPr>
        <w:t xml:space="preserve"> (or criterion or definition or phase or whatever), not about “variables” (communities, immigrant narratives, </w:t>
      </w:r>
      <w:r w:rsidRPr="00F70AC0">
        <w:rPr>
          <w:strike/>
          <w:szCs w:val="24"/>
        </w:rPr>
        <w:t>writer’s metaphors, or paragraph types</w:t>
      </w:r>
      <w:r w:rsidRPr="00F70AC0">
        <w:rPr>
          <w:szCs w:val="24"/>
        </w:rPr>
        <w:t xml:space="preserve">).  If each of your paragraphs after the first is about </w:t>
      </w:r>
      <w:r w:rsidRPr="00F70AC0">
        <w:rPr>
          <w:szCs w:val="24"/>
          <w:u w:val="single"/>
        </w:rPr>
        <w:t>one</w:t>
      </w:r>
      <w:r w:rsidRPr="00F70AC0">
        <w:rPr>
          <w:szCs w:val="24"/>
        </w:rPr>
        <w:t xml:space="preserve"> category, it will do </w:t>
      </w:r>
      <w:r w:rsidRPr="00F70AC0">
        <w:rPr>
          <w:szCs w:val="24"/>
          <w:u w:val="single"/>
        </w:rPr>
        <w:t>two</w:t>
      </w:r>
      <w:r w:rsidRPr="00F70AC0">
        <w:rPr>
          <w:szCs w:val="24"/>
        </w:rPr>
        <w:t xml:space="preserve"> things: </w:t>
      </w:r>
    </w:p>
    <w:p w:rsidR="00C978A3" w:rsidRPr="00F70AC0" w:rsidRDefault="00C978A3" w:rsidP="00C978A3">
      <w:pPr>
        <w:rPr>
          <w:szCs w:val="24"/>
        </w:rPr>
      </w:pPr>
    </w:p>
    <w:p w:rsidR="00C978A3" w:rsidRPr="00F70AC0" w:rsidRDefault="00C978A3" w:rsidP="00C978A3">
      <w:pPr>
        <w:numPr>
          <w:ilvl w:val="0"/>
          <w:numId w:val="44"/>
        </w:numPr>
        <w:rPr>
          <w:szCs w:val="24"/>
        </w:rPr>
      </w:pPr>
      <w:r w:rsidRPr="00F70AC0">
        <w:rPr>
          <w:szCs w:val="24"/>
        </w:rPr>
        <w:t xml:space="preserve">Start with an </w:t>
      </w:r>
      <w:r w:rsidRPr="00F70AC0">
        <w:rPr>
          <w:i/>
          <w:szCs w:val="24"/>
        </w:rPr>
        <w:t>extended</w:t>
      </w:r>
      <w:r w:rsidRPr="00F70AC0">
        <w:rPr>
          <w:szCs w:val="24"/>
        </w:rPr>
        <w:t xml:space="preserve"> definition of the category that normally does the following:</w:t>
      </w:r>
    </w:p>
    <w:p w:rsidR="00C978A3" w:rsidRPr="00F70AC0" w:rsidRDefault="00C978A3" w:rsidP="00C978A3">
      <w:pPr>
        <w:numPr>
          <w:ilvl w:val="0"/>
          <w:numId w:val="45"/>
        </w:numPr>
        <w:rPr>
          <w:szCs w:val="24"/>
        </w:rPr>
      </w:pPr>
      <w:r w:rsidRPr="00F70AC0">
        <w:rPr>
          <w:szCs w:val="24"/>
          <w:u w:val="single"/>
        </w:rPr>
        <w:t>quote</w:t>
      </w:r>
      <w:r w:rsidRPr="00F70AC0">
        <w:rPr>
          <w:szCs w:val="24"/>
        </w:rPr>
        <w:t xml:space="preserve"> the relevant definition from your source</w:t>
      </w:r>
    </w:p>
    <w:p w:rsidR="00C978A3" w:rsidRPr="00F70AC0" w:rsidRDefault="00C978A3" w:rsidP="00C978A3">
      <w:pPr>
        <w:numPr>
          <w:ilvl w:val="0"/>
          <w:numId w:val="45"/>
        </w:numPr>
        <w:rPr>
          <w:szCs w:val="24"/>
        </w:rPr>
      </w:pPr>
      <w:r w:rsidRPr="00F70AC0">
        <w:rPr>
          <w:szCs w:val="24"/>
          <w:u w:val="single"/>
        </w:rPr>
        <w:t>explain/discuss</w:t>
      </w:r>
      <w:r w:rsidRPr="00F70AC0">
        <w:rPr>
          <w:szCs w:val="24"/>
        </w:rPr>
        <w:t xml:space="preserve"> the quoted definition when necessary</w:t>
      </w:r>
    </w:p>
    <w:p w:rsidR="00C978A3" w:rsidRPr="00F70AC0" w:rsidRDefault="00C978A3" w:rsidP="00C978A3">
      <w:pPr>
        <w:ind w:left="1080"/>
        <w:rPr>
          <w:szCs w:val="24"/>
        </w:rPr>
      </w:pPr>
    </w:p>
    <w:p w:rsidR="00C978A3" w:rsidRPr="00F70AC0" w:rsidRDefault="00C978A3" w:rsidP="007F1058">
      <w:pPr>
        <w:numPr>
          <w:ilvl w:val="0"/>
          <w:numId w:val="44"/>
        </w:numPr>
        <w:rPr>
          <w:szCs w:val="24"/>
        </w:rPr>
      </w:pPr>
      <w:r w:rsidRPr="00F70AC0">
        <w:rPr>
          <w:szCs w:val="24"/>
        </w:rPr>
        <w:t>D</w:t>
      </w:r>
      <w:r w:rsidRPr="00F70AC0">
        <w:rPr>
          <w:szCs w:val="24"/>
          <w:u w:val="single"/>
        </w:rPr>
        <w:t xml:space="preserve">iscuss whether </w:t>
      </w:r>
      <w:r w:rsidRPr="00F70AC0">
        <w:rPr>
          <w:i/>
          <w:szCs w:val="24"/>
          <w:u w:val="single"/>
        </w:rPr>
        <w:t>each</w:t>
      </w:r>
      <w:r w:rsidRPr="00F70AC0">
        <w:rPr>
          <w:szCs w:val="24"/>
          <w:u w:val="single"/>
        </w:rPr>
        <w:t xml:space="preserve"> of the variables fits the category</w:t>
      </w:r>
      <w:r w:rsidRPr="00F70AC0">
        <w:rPr>
          <w:szCs w:val="24"/>
        </w:rPr>
        <w:t xml:space="preserve"> (five variables for the communities and immigrants, more for the metaphors and paragraph types) and </w:t>
      </w:r>
      <w:r w:rsidRPr="00F70AC0">
        <w:rPr>
          <w:szCs w:val="24"/>
          <w:u w:val="single"/>
        </w:rPr>
        <w:t xml:space="preserve">explain </w:t>
      </w:r>
      <w:r w:rsidRPr="00F70AC0">
        <w:rPr>
          <w:i/>
          <w:szCs w:val="24"/>
          <w:u w:val="single"/>
        </w:rPr>
        <w:t>why and how</w:t>
      </w:r>
      <w:r w:rsidRPr="00F70AC0">
        <w:rPr>
          <w:szCs w:val="24"/>
          <w:u w:val="single"/>
        </w:rPr>
        <w:t xml:space="preserve"> it fits or doesn’t fit</w:t>
      </w:r>
      <w:r w:rsidRPr="00F70AC0">
        <w:rPr>
          <w:szCs w:val="24"/>
        </w:rPr>
        <w:t xml:space="preserve"> the category.  This is where you’ll refer to and probably quote the (For example, “The </w:t>
      </w:r>
      <w:proofErr w:type="spellStart"/>
      <w:r w:rsidRPr="00F70AC0">
        <w:rPr>
          <w:szCs w:val="24"/>
        </w:rPr>
        <w:t>Ik</w:t>
      </w:r>
      <w:proofErr w:type="spellEnd"/>
      <w:r w:rsidRPr="00F70AC0">
        <w:rPr>
          <w:szCs w:val="24"/>
        </w:rPr>
        <w:t xml:space="preserve"> tribe would fit the ‘smallness’ category because we’re told that even the largest of their villages only ‘comprised thirty such huts,’ a clear measure of a small community according to Redfield’s definition.”)  For each category, you must discuss </w:t>
      </w:r>
      <w:r w:rsidRPr="00F70AC0">
        <w:rPr>
          <w:szCs w:val="24"/>
          <w:u w:val="single"/>
        </w:rPr>
        <w:t>all</w:t>
      </w:r>
      <w:r w:rsidRPr="00F70AC0">
        <w:rPr>
          <w:szCs w:val="24"/>
        </w:rPr>
        <w:t xml:space="preserve"> the variables and determine whether they fit the category or not:  if you’re writing about communities or immigrants, and you have fewer than five variables, you’re not done:  you need to consider all of them.  My advice is to address those that do fit the category first, then group the maybe one or (very rarely) two that don’t fit the category at the end of your paragraph.  Again, each category implies at least one paragraph—probably a </w:t>
      </w:r>
      <w:r w:rsidRPr="00F70AC0">
        <w:rPr>
          <w:i/>
          <w:szCs w:val="24"/>
        </w:rPr>
        <w:t xml:space="preserve">very, </w:t>
      </w:r>
      <w:r w:rsidRPr="00F70AC0">
        <w:rPr>
          <w:szCs w:val="24"/>
        </w:rPr>
        <w:t xml:space="preserve">or </w:t>
      </w:r>
      <w:r w:rsidRPr="00F70AC0">
        <w:rPr>
          <w:i/>
          <w:szCs w:val="24"/>
        </w:rPr>
        <w:t>very, very</w:t>
      </w:r>
      <w:r w:rsidRPr="00F70AC0">
        <w:rPr>
          <w:szCs w:val="24"/>
        </w:rPr>
        <w:t xml:space="preserve"> long paragraph for each of your categories.</w:t>
      </w:r>
    </w:p>
    <w:p w:rsidR="00C978A3" w:rsidRPr="00F70AC0" w:rsidRDefault="00C978A3" w:rsidP="00C978A3">
      <w:pPr>
        <w:rPr>
          <w:szCs w:val="24"/>
        </w:rPr>
      </w:pPr>
    </w:p>
    <w:p w:rsidR="00C978A3" w:rsidRPr="00F70AC0" w:rsidRDefault="00C978A3" w:rsidP="00C978A3">
      <w:pPr>
        <w:numPr>
          <w:ilvl w:val="0"/>
          <w:numId w:val="43"/>
        </w:numPr>
        <w:rPr>
          <w:szCs w:val="24"/>
        </w:rPr>
      </w:pPr>
      <w:r w:rsidRPr="00F70AC0">
        <w:rPr>
          <w:szCs w:val="24"/>
          <w:u w:val="single"/>
        </w:rPr>
        <w:t>Source Use/Documentation</w:t>
      </w:r>
      <w:r w:rsidRPr="00F70AC0">
        <w:rPr>
          <w:szCs w:val="24"/>
        </w:rPr>
        <w:t xml:space="preserve">.  Please see the Essay 2 assignment and the Source Use handout in the syllabus for details. Here are the general rules.  Quotations from all sources must be copied exactly and enclosed by quotation marks. When you paraphrase, use your own words:  reproducing the original and changing or rearranging a few words is still plagiarism:  even when you change some of it, you have to </w:t>
      </w:r>
      <w:r w:rsidRPr="00F70AC0">
        <w:rPr>
          <w:szCs w:val="24"/>
          <w:u w:val="single"/>
        </w:rPr>
        <w:t>quote</w:t>
      </w:r>
      <w:r w:rsidRPr="00F70AC0">
        <w:rPr>
          <w:szCs w:val="24"/>
        </w:rPr>
        <w:t xml:space="preserve"> the unchanged words, so make up your mind: quote it exactly within quotation marks or paraphrase it into </w:t>
      </w:r>
      <w:r w:rsidRPr="00F70AC0">
        <w:rPr>
          <w:i/>
          <w:szCs w:val="24"/>
        </w:rPr>
        <w:t>your</w:t>
      </w:r>
      <w:r w:rsidRPr="00F70AC0">
        <w:rPr>
          <w:szCs w:val="24"/>
        </w:rPr>
        <w:t xml:space="preserve"> words ,   when you quote or paraphrase any ideas or information from a source, you cite a page number immediately after the quotation or borrowed ideas or info:  </w:t>
      </w:r>
    </w:p>
    <w:p w:rsidR="00C978A3" w:rsidRPr="00F70AC0" w:rsidRDefault="00C978A3" w:rsidP="00C978A3">
      <w:pPr>
        <w:rPr>
          <w:szCs w:val="24"/>
        </w:rPr>
      </w:pPr>
    </w:p>
    <w:p w:rsidR="00C978A3" w:rsidRPr="00F70AC0" w:rsidRDefault="00C978A3" w:rsidP="00C978A3">
      <w:pPr>
        <w:numPr>
          <w:ilvl w:val="0"/>
          <w:numId w:val="45"/>
        </w:numPr>
        <w:rPr>
          <w:szCs w:val="24"/>
        </w:rPr>
      </w:pPr>
      <w:r w:rsidRPr="00F70AC0">
        <w:rPr>
          <w:szCs w:val="24"/>
        </w:rPr>
        <w:t>Morse explains that “germs do not discriminate” (102).</w:t>
      </w:r>
    </w:p>
    <w:p w:rsidR="00C978A3" w:rsidRPr="00F70AC0" w:rsidRDefault="00C978A3" w:rsidP="00C978A3">
      <w:pPr>
        <w:numPr>
          <w:ilvl w:val="0"/>
          <w:numId w:val="45"/>
        </w:numPr>
        <w:rPr>
          <w:szCs w:val="24"/>
        </w:rPr>
      </w:pPr>
      <w:r w:rsidRPr="00F70AC0">
        <w:rPr>
          <w:szCs w:val="24"/>
        </w:rPr>
        <w:t xml:space="preserve">According to </w:t>
      </w:r>
      <w:proofErr w:type="spellStart"/>
      <w:r w:rsidRPr="00F70AC0">
        <w:rPr>
          <w:szCs w:val="24"/>
        </w:rPr>
        <w:t>Kottack</w:t>
      </w:r>
      <w:proofErr w:type="spellEnd"/>
      <w:r w:rsidRPr="00F70AC0">
        <w:rPr>
          <w:szCs w:val="24"/>
        </w:rPr>
        <w:t xml:space="preserve">, Van </w:t>
      </w:r>
      <w:proofErr w:type="spellStart"/>
      <w:r w:rsidRPr="00F70AC0">
        <w:rPr>
          <w:szCs w:val="24"/>
        </w:rPr>
        <w:t>Gennep’s</w:t>
      </w:r>
      <w:proofErr w:type="spellEnd"/>
      <w:r w:rsidRPr="00F70AC0">
        <w:rPr>
          <w:szCs w:val="24"/>
        </w:rPr>
        <w:t xml:space="preserve"> liminal phase is accepted by most experts (99).</w:t>
      </w:r>
    </w:p>
    <w:p w:rsidR="00C978A3" w:rsidRPr="00F70AC0" w:rsidRDefault="00C978A3" w:rsidP="00C978A3">
      <w:pPr>
        <w:rPr>
          <w:szCs w:val="24"/>
        </w:rPr>
      </w:pPr>
    </w:p>
    <w:p w:rsidR="00C978A3" w:rsidRPr="00F70AC0" w:rsidRDefault="00C978A3" w:rsidP="00C978A3">
      <w:pPr>
        <w:ind w:left="720"/>
        <w:rPr>
          <w:szCs w:val="24"/>
        </w:rPr>
      </w:pPr>
      <w:r w:rsidRPr="00F70AC0">
        <w:rPr>
          <w:szCs w:val="24"/>
        </w:rPr>
        <w:t xml:space="preserve">This Works Cited will need </w:t>
      </w:r>
      <w:r w:rsidRPr="00F70AC0">
        <w:rPr>
          <w:szCs w:val="24"/>
          <w:u w:val="single"/>
        </w:rPr>
        <w:t>two</w:t>
      </w:r>
      <w:r w:rsidRPr="00F70AC0">
        <w:rPr>
          <w:szCs w:val="24"/>
        </w:rPr>
        <w:t xml:space="preserve"> entries. Here’s </w:t>
      </w:r>
      <w:r w:rsidR="00654275">
        <w:rPr>
          <w:szCs w:val="24"/>
        </w:rPr>
        <w:t xml:space="preserve">one example each from each of the reading options; you’ll need to create the other one from your option for yourself. </w:t>
      </w:r>
    </w:p>
    <w:p w:rsidR="00C978A3" w:rsidRPr="00F70AC0" w:rsidRDefault="00C978A3" w:rsidP="00C978A3">
      <w:pPr>
        <w:rPr>
          <w:szCs w:val="24"/>
        </w:rPr>
      </w:pPr>
    </w:p>
    <w:p w:rsidR="00C978A3" w:rsidRPr="00F70AC0" w:rsidRDefault="00C978A3" w:rsidP="00C978A3">
      <w:pPr>
        <w:ind w:left="720"/>
        <w:jc w:val="center"/>
        <w:rPr>
          <w:szCs w:val="24"/>
        </w:rPr>
      </w:pPr>
      <w:r w:rsidRPr="00F70AC0">
        <w:rPr>
          <w:szCs w:val="24"/>
        </w:rPr>
        <w:t>Works Cited</w:t>
      </w:r>
    </w:p>
    <w:p w:rsidR="00C978A3" w:rsidRPr="00F70AC0" w:rsidRDefault="00C978A3" w:rsidP="00C978A3">
      <w:pPr>
        <w:ind w:left="720"/>
        <w:jc w:val="center"/>
        <w:rPr>
          <w:szCs w:val="24"/>
        </w:rPr>
      </w:pPr>
    </w:p>
    <w:p w:rsidR="00C978A3" w:rsidRPr="00F70AC0" w:rsidRDefault="00C978A3" w:rsidP="00C978A3">
      <w:pPr>
        <w:ind w:left="1080" w:hanging="360"/>
        <w:rPr>
          <w:szCs w:val="24"/>
        </w:rPr>
      </w:pPr>
      <w:proofErr w:type="spellStart"/>
      <w:r w:rsidRPr="00F70AC0">
        <w:rPr>
          <w:szCs w:val="24"/>
        </w:rPr>
        <w:t>Kiniry</w:t>
      </w:r>
      <w:proofErr w:type="spellEnd"/>
      <w:r w:rsidRPr="00F70AC0">
        <w:rPr>
          <w:szCs w:val="24"/>
        </w:rPr>
        <w:t xml:space="preserve">, Malcolm, and Mike Rose. “Summaries of Studies on Community.” </w:t>
      </w:r>
      <w:r w:rsidRPr="00F70AC0">
        <w:rPr>
          <w:i/>
          <w:szCs w:val="24"/>
        </w:rPr>
        <w:t>Critical Strategies</w:t>
      </w:r>
      <w:r w:rsidRPr="00F70AC0">
        <w:rPr>
          <w:szCs w:val="24"/>
        </w:rPr>
        <w:t xml:space="preserve">.  3rd ed.  Malcolm </w:t>
      </w:r>
      <w:proofErr w:type="spellStart"/>
      <w:r w:rsidRPr="00F70AC0">
        <w:rPr>
          <w:szCs w:val="24"/>
        </w:rPr>
        <w:t>Kiniry</w:t>
      </w:r>
      <w:proofErr w:type="spellEnd"/>
      <w:r w:rsidRPr="00F70AC0">
        <w:rPr>
          <w:szCs w:val="24"/>
        </w:rPr>
        <w:t xml:space="preserve"> and Mike Rose.  Boston: St. Martin’s, 1998. 316-19.</w:t>
      </w:r>
    </w:p>
    <w:p w:rsidR="00C978A3" w:rsidRPr="00F70AC0" w:rsidRDefault="00C978A3" w:rsidP="00C978A3">
      <w:pPr>
        <w:tabs>
          <w:tab w:val="left" w:pos="720"/>
          <w:tab w:val="left" w:pos="1080"/>
          <w:tab w:val="left" w:pos="1530"/>
          <w:tab w:val="left" w:pos="1890"/>
        </w:tabs>
        <w:ind w:left="1440"/>
        <w:rPr>
          <w:szCs w:val="24"/>
        </w:rPr>
      </w:pPr>
    </w:p>
    <w:p w:rsidR="00C978A3" w:rsidRPr="00F70AC0" w:rsidRDefault="00C978A3" w:rsidP="00C978A3">
      <w:pPr>
        <w:ind w:left="1080" w:hanging="360"/>
        <w:rPr>
          <w:szCs w:val="24"/>
        </w:rPr>
      </w:pPr>
      <w:r w:rsidRPr="00F70AC0">
        <w:rPr>
          <w:szCs w:val="24"/>
        </w:rPr>
        <w:t xml:space="preserve">Anonymous.  “Immigrant Narratives.” </w:t>
      </w:r>
      <w:r w:rsidRPr="00F70AC0">
        <w:rPr>
          <w:i/>
          <w:szCs w:val="24"/>
        </w:rPr>
        <w:t>Critical Strategies</w:t>
      </w:r>
      <w:r w:rsidRPr="00F70AC0">
        <w:rPr>
          <w:szCs w:val="24"/>
        </w:rPr>
        <w:t xml:space="preserve">.  3rd ed.  Malcolm </w:t>
      </w:r>
      <w:proofErr w:type="spellStart"/>
      <w:r w:rsidRPr="00F70AC0">
        <w:rPr>
          <w:szCs w:val="24"/>
        </w:rPr>
        <w:t>Kiniry</w:t>
      </w:r>
      <w:proofErr w:type="spellEnd"/>
      <w:r w:rsidRPr="00F70AC0">
        <w:rPr>
          <w:szCs w:val="24"/>
        </w:rPr>
        <w:t xml:space="preserve"> and Mike Rose.  Boston: St. Martin’s, 1998.  333-47.</w:t>
      </w:r>
    </w:p>
    <w:p w:rsidR="00C05BB0" w:rsidRPr="00F70AC0" w:rsidRDefault="00C05BB0" w:rsidP="00C978A3">
      <w:pPr>
        <w:ind w:left="1080" w:hanging="360"/>
        <w:rPr>
          <w:szCs w:val="24"/>
        </w:rPr>
      </w:pPr>
    </w:p>
    <w:sectPr w:rsidR="00C05BB0" w:rsidRPr="00F70AC0" w:rsidSect="00F2534C">
      <w:headerReference w:type="default" r:id="rId8"/>
      <w:footerReference w:type="even" r:id="rId9"/>
      <w:footerReference w:type="default" r:id="rId10"/>
      <w:headerReference w:type="first" r:id="rId11"/>
      <w:pgSz w:w="12240" w:h="15840" w:code="1"/>
      <w:pgMar w:top="720" w:right="1440" w:bottom="720" w:left="1440" w:header="28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501F3" w:rsidRDefault="008501F3">
      <w:r>
        <w:separator/>
      </w:r>
    </w:p>
  </w:endnote>
  <w:endnote w:type="continuationSeparator" w:id="0">
    <w:p w:rsidR="008501F3" w:rsidRDefault="00850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04CDA" w:rsidRDefault="00A04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04CDA" w:rsidRDefault="00A04C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04CDA" w:rsidRDefault="00A04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54275">
      <w:rPr>
        <w:rStyle w:val="PageNumber"/>
        <w:noProof/>
      </w:rPr>
      <w:t>3</w:t>
    </w:r>
    <w:r>
      <w:rPr>
        <w:rStyle w:val="PageNumber"/>
      </w:rPr>
      <w:fldChar w:fldCharType="end"/>
    </w:r>
  </w:p>
  <w:p w:rsidR="00A04CDA" w:rsidRDefault="00A04CD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501F3" w:rsidRDefault="008501F3">
      <w:r>
        <w:separator/>
      </w:r>
    </w:p>
  </w:footnote>
  <w:footnote w:type="continuationSeparator" w:id="0">
    <w:p w:rsidR="008501F3" w:rsidRDefault="00850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04CDA" w:rsidRDefault="00A04CDA">
    <w:pPr>
      <w:tabs>
        <w:tab w:val="left" w:pos="720"/>
        <w:tab w:val="left" w:pos="1440"/>
        <w:tab w:val="left" w:pos="2160"/>
        <w:tab w:val="left" w:pos="2880"/>
        <w:tab w:val="left" w:pos="3600"/>
        <w:tab w:val="left" w:pos="4320"/>
        <w:tab w:val="left" w:pos="5040"/>
        <w:tab w:val="left" w:pos="5760"/>
        <w:tab w:val="left" w:pos="6480"/>
        <w:tab w:val="left" w:pos="7200"/>
        <w:tab w:val="left" w:pos="79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04CDA" w:rsidRDefault="00A04CD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6C0DF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4462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23031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4CC2A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174CE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527D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FC4E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68058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30B4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56F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4402E78"/>
    <w:multiLevelType w:val="singleLevel"/>
    <w:tmpl w:val="FFFFFFFF"/>
    <w:lvl w:ilvl="0">
      <w:numFmt w:val="decimal"/>
      <w:lvlText w:val="*"/>
      <w:lvlJc w:val="left"/>
    </w:lvl>
  </w:abstractNum>
  <w:abstractNum w:abstractNumId="12" w15:restartNumberingAfterBreak="0">
    <w:nsid w:val="078B0856"/>
    <w:multiLevelType w:val="hybridMultilevel"/>
    <w:tmpl w:val="5F1401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E3F299A"/>
    <w:multiLevelType w:val="singleLevel"/>
    <w:tmpl w:val="A8706248"/>
    <w:lvl w:ilvl="0">
      <w:start w:val="1"/>
      <w:numFmt w:val="lowerLetter"/>
      <w:lvlText w:val="%1."/>
      <w:lvlJc w:val="left"/>
      <w:pPr>
        <w:tabs>
          <w:tab w:val="num" w:pos="432"/>
        </w:tabs>
        <w:ind w:left="360" w:hanging="288"/>
      </w:pPr>
    </w:lvl>
  </w:abstractNum>
  <w:abstractNum w:abstractNumId="14" w15:restartNumberingAfterBreak="0">
    <w:nsid w:val="0EE77183"/>
    <w:multiLevelType w:val="hybridMultilevel"/>
    <w:tmpl w:val="1D3A8F7A"/>
    <w:lvl w:ilvl="0" w:tplc="03E6E230">
      <w:start w:val="1"/>
      <w:numFmt w:val="bullet"/>
      <w:lvlText w:val=""/>
      <w:lvlJc w:val="left"/>
      <w:pPr>
        <w:tabs>
          <w:tab w:val="num" w:pos="2160"/>
        </w:tabs>
        <w:ind w:left="2160" w:hanging="360"/>
      </w:pPr>
      <w:rPr>
        <w:rFonts w:ascii="Symbol" w:hAnsi="Symbol" w:hint="default"/>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160F628C"/>
    <w:multiLevelType w:val="hybridMultilevel"/>
    <w:tmpl w:val="F74A54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68228AD"/>
    <w:multiLevelType w:val="singleLevel"/>
    <w:tmpl w:val="EFBEE2F2"/>
    <w:lvl w:ilvl="0">
      <w:start w:val="1"/>
      <w:numFmt w:val="lowerLetter"/>
      <w:lvlText w:val="%1."/>
      <w:lvlJc w:val="left"/>
      <w:pPr>
        <w:tabs>
          <w:tab w:val="num" w:pos="432"/>
        </w:tabs>
        <w:ind w:left="432" w:hanging="432"/>
      </w:pPr>
      <w:rPr>
        <w:b w:val="0"/>
        <w:i w:val="0"/>
      </w:rPr>
    </w:lvl>
  </w:abstractNum>
  <w:abstractNum w:abstractNumId="17" w15:restartNumberingAfterBreak="0">
    <w:nsid w:val="1F13414E"/>
    <w:multiLevelType w:val="singleLevel"/>
    <w:tmpl w:val="A134DECA"/>
    <w:lvl w:ilvl="0">
      <w:start w:val="1"/>
      <w:numFmt w:val="lowerLetter"/>
      <w:lvlText w:val="%1."/>
      <w:lvlJc w:val="left"/>
      <w:pPr>
        <w:tabs>
          <w:tab w:val="num" w:pos="432"/>
        </w:tabs>
        <w:ind w:left="432" w:hanging="432"/>
      </w:pPr>
      <w:rPr>
        <w:b w:val="0"/>
        <w:i w:val="0"/>
      </w:rPr>
    </w:lvl>
  </w:abstractNum>
  <w:abstractNum w:abstractNumId="18" w15:restartNumberingAfterBreak="0">
    <w:nsid w:val="22B06BD4"/>
    <w:multiLevelType w:val="hybridMultilevel"/>
    <w:tmpl w:val="D6029678"/>
    <w:lvl w:ilvl="0" w:tplc="168C6BD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494F02"/>
    <w:multiLevelType w:val="singleLevel"/>
    <w:tmpl w:val="6B7C060C"/>
    <w:lvl w:ilvl="0">
      <w:start w:val="2"/>
      <w:numFmt w:val="decimal"/>
      <w:lvlText w:val="%1)"/>
      <w:lvlJc w:val="left"/>
      <w:pPr>
        <w:tabs>
          <w:tab w:val="num" w:pos="792"/>
        </w:tabs>
        <w:ind w:left="792" w:hanging="360"/>
      </w:pPr>
      <w:rPr>
        <w:rFonts w:hint="default"/>
      </w:rPr>
    </w:lvl>
  </w:abstractNum>
  <w:abstractNum w:abstractNumId="20" w15:restartNumberingAfterBreak="0">
    <w:nsid w:val="297B1D25"/>
    <w:multiLevelType w:val="singleLevel"/>
    <w:tmpl w:val="79AE6B56"/>
    <w:lvl w:ilvl="0">
      <w:start w:val="3"/>
      <w:numFmt w:val="decimal"/>
      <w:lvlText w:val="%1)"/>
      <w:lvlJc w:val="left"/>
      <w:pPr>
        <w:tabs>
          <w:tab w:val="num" w:pos="792"/>
        </w:tabs>
        <w:ind w:left="792" w:hanging="360"/>
      </w:pPr>
      <w:rPr>
        <w:rFonts w:hint="default"/>
      </w:rPr>
    </w:lvl>
  </w:abstractNum>
  <w:abstractNum w:abstractNumId="21" w15:restartNumberingAfterBreak="0">
    <w:nsid w:val="2E8C6041"/>
    <w:multiLevelType w:val="hybridMultilevel"/>
    <w:tmpl w:val="E26A8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492F07"/>
    <w:multiLevelType w:val="hybridMultilevel"/>
    <w:tmpl w:val="B4F21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405562F"/>
    <w:multiLevelType w:val="multilevel"/>
    <w:tmpl w:val="464C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5E4C3E"/>
    <w:multiLevelType w:val="singleLevel"/>
    <w:tmpl w:val="43740A70"/>
    <w:lvl w:ilvl="0">
      <w:start w:val="1"/>
      <w:numFmt w:val="decimal"/>
      <w:lvlText w:val="%1)"/>
      <w:legacy w:legacy="1" w:legacySpace="0" w:legacyIndent="360"/>
      <w:lvlJc w:val="left"/>
      <w:pPr>
        <w:ind w:left="2160" w:hanging="360"/>
      </w:pPr>
    </w:lvl>
  </w:abstractNum>
  <w:abstractNum w:abstractNumId="25" w15:restartNumberingAfterBreak="0">
    <w:nsid w:val="40BA6F7F"/>
    <w:multiLevelType w:val="singleLevel"/>
    <w:tmpl w:val="C9F695DC"/>
    <w:lvl w:ilvl="0">
      <w:start w:val="1"/>
      <w:numFmt w:val="decimal"/>
      <w:lvlText w:val="%1)"/>
      <w:lvlJc w:val="left"/>
      <w:pPr>
        <w:tabs>
          <w:tab w:val="num" w:pos="360"/>
        </w:tabs>
        <w:ind w:left="360" w:hanging="360"/>
      </w:pPr>
    </w:lvl>
  </w:abstractNum>
  <w:abstractNum w:abstractNumId="26" w15:restartNumberingAfterBreak="0">
    <w:nsid w:val="40D26D5B"/>
    <w:multiLevelType w:val="singleLevel"/>
    <w:tmpl w:val="33AE2C1C"/>
    <w:lvl w:ilvl="0">
      <w:start w:val="1"/>
      <w:numFmt w:val="decimal"/>
      <w:lvlText w:val="%1."/>
      <w:legacy w:legacy="1" w:legacySpace="0" w:legacyIndent="360"/>
      <w:lvlJc w:val="left"/>
      <w:pPr>
        <w:ind w:left="360" w:hanging="360"/>
      </w:pPr>
    </w:lvl>
  </w:abstractNum>
  <w:abstractNum w:abstractNumId="27" w15:restartNumberingAfterBreak="0">
    <w:nsid w:val="40D97D25"/>
    <w:multiLevelType w:val="singleLevel"/>
    <w:tmpl w:val="A134DECA"/>
    <w:lvl w:ilvl="0">
      <w:start w:val="1"/>
      <w:numFmt w:val="lowerLetter"/>
      <w:lvlText w:val="%1."/>
      <w:lvlJc w:val="left"/>
      <w:pPr>
        <w:tabs>
          <w:tab w:val="num" w:pos="432"/>
        </w:tabs>
        <w:ind w:left="432" w:hanging="432"/>
      </w:pPr>
      <w:rPr>
        <w:b w:val="0"/>
        <w:i w:val="0"/>
      </w:rPr>
    </w:lvl>
  </w:abstractNum>
  <w:abstractNum w:abstractNumId="28" w15:restartNumberingAfterBreak="0">
    <w:nsid w:val="412575E6"/>
    <w:multiLevelType w:val="hybridMultilevel"/>
    <w:tmpl w:val="B17C8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3943B1"/>
    <w:multiLevelType w:val="singleLevel"/>
    <w:tmpl w:val="A134DECA"/>
    <w:lvl w:ilvl="0">
      <w:start w:val="1"/>
      <w:numFmt w:val="lowerLetter"/>
      <w:lvlText w:val="%1."/>
      <w:lvlJc w:val="left"/>
      <w:pPr>
        <w:tabs>
          <w:tab w:val="num" w:pos="432"/>
        </w:tabs>
        <w:ind w:left="432" w:hanging="432"/>
      </w:pPr>
      <w:rPr>
        <w:b w:val="0"/>
        <w:i w:val="0"/>
      </w:rPr>
    </w:lvl>
  </w:abstractNum>
  <w:abstractNum w:abstractNumId="30" w15:restartNumberingAfterBreak="0">
    <w:nsid w:val="4B8E446B"/>
    <w:multiLevelType w:val="singleLevel"/>
    <w:tmpl w:val="43740A70"/>
    <w:lvl w:ilvl="0">
      <w:start w:val="1"/>
      <w:numFmt w:val="decimal"/>
      <w:lvlText w:val="%1)"/>
      <w:legacy w:legacy="1" w:legacySpace="0" w:legacyIndent="360"/>
      <w:lvlJc w:val="left"/>
      <w:pPr>
        <w:ind w:left="2160" w:hanging="360"/>
      </w:pPr>
    </w:lvl>
  </w:abstractNum>
  <w:abstractNum w:abstractNumId="31" w15:restartNumberingAfterBreak="0">
    <w:nsid w:val="4EB41F79"/>
    <w:multiLevelType w:val="singleLevel"/>
    <w:tmpl w:val="33AE2C1C"/>
    <w:lvl w:ilvl="0">
      <w:start w:val="1"/>
      <w:numFmt w:val="decimal"/>
      <w:lvlText w:val="%1."/>
      <w:legacy w:legacy="1" w:legacySpace="0" w:legacyIndent="360"/>
      <w:lvlJc w:val="left"/>
      <w:pPr>
        <w:ind w:left="360" w:hanging="360"/>
      </w:pPr>
    </w:lvl>
  </w:abstractNum>
  <w:abstractNum w:abstractNumId="32" w15:restartNumberingAfterBreak="0">
    <w:nsid w:val="4FB92901"/>
    <w:multiLevelType w:val="multilevel"/>
    <w:tmpl w:val="7F16E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7E545A"/>
    <w:multiLevelType w:val="multilevel"/>
    <w:tmpl w:val="B262CDB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Arial Narro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Narro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Narro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383607"/>
    <w:multiLevelType w:val="hybridMultilevel"/>
    <w:tmpl w:val="E1286A12"/>
    <w:lvl w:ilvl="0" w:tplc="FFFFFFFF">
      <w:start w:val="1"/>
      <w:numFmt w:val="bullet"/>
      <w:lvlText w:val=""/>
      <w:legacy w:legacy="1" w:legacySpace="0" w:legacyIndent="360"/>
      <w:lvlJc w:val="left"/>
      <w:pPr>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D63B3"/>
    <w:multiLevelType w:val="hybridMultilevel"/>
    <w:tmpl w:val="9EBC1FE8"/>
    <w:lvl w:ilvl="0" w:tplc="C9A2CA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9C93D97"/>
    <w:multiLevelType w:val="hybridMultilevel"/>
    <w:tmpl w:val="1BFCD316"/>
    <w:lvl w:ilvl="0" w:tplc="66DED026">
      <w:start w:val="1"/>
      <w:numFmt w:val="bullet"/>
      <w:lvlText w:val=""/>
      <w:lvlJc w:val="left"/>
      <w:pPr>
        <w:tabs>
          <w:tab w:val="num" w:pos="2160"/>
        </w:tabs>
        <w:ind w:left="2160" w:hanging="360"/>
      </w:pPr>
      <w:rPr>
        <w:rFonts w:ascii="Symbol" w:hAnsi="Symbol" w:hint="default"/>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5AE83C56"/>
    <w:multiLevelType w:val="singleLevel"/>
    <w:tmpl w:val="D8D6295A"/>
    <w:lvl w:ilvl="0">
      <w:start w:val="1"/>
      <w:numFmt w:val="decimal"/>
      <w:lvlText w:val="%1)"/>
      <w:lvlJc w:val="left"/>
      <w:pPr>
        <w:tabs>
          <w:tab w:val="num" w:pos="720"/>
        </w:tabs>
        <w:ind w:left="720" w:hanging="360"/>
      </w:pPr>
    </w:lvl>
  </w:abstractNum>
  <w:abstractNum w:abstractNumId="38" w15:restartNumberingAfterBreak="0">
    <w:nsid w:val="5B3542A3"/>
    <w:multiLevelType w:val="singleLevel"/>
    <w:tmpl w:val="A134DECA"/>
    <w:lvl w:ilvl="0">
      <w:start w:val="1"/>
      <w:numFmt w:val="lowerLetter"/>
      <w:lvlText w:val="%1."/>
      <w:lvlJc w:val="left"/>
      <w:pPr>
        <w:tabs>
          <w:tab w:val="num" w:pos="432"/>
        </w:tabs>
        <w:ind w:left="432" w:hanging="432"/>
      </w:pPr>
      <w:rPr>
        <w:b w:val="0"/>
        <w:i w:val="0"/>
      </w:rPr>
    </w:lvl>
  </w:abstractNum>
  <w:abstractNum w:abstractNumId="39" w15:restartNumberingAfterBreak="0">
    <w:nsid w:val="5C1557E2"/>
    <w:multiLevelType w:val="hybridMultilevel"/>
    <w:tmpl w:val="6B60A5AE"/>
    <w:lvl w:ilvl="0" w:tplc="FFFFFFFF">
      <w:start w:val="1"/>
      <w:numFmt w:val="bullet"/>
      <w:lvlText w:val=""/>
      <w:legacy w:legacy="1" w:legacySpace="0" w:legacyIndent="360"/>
      <w:lvlJc w:val="left"/>
      <w:pPr>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DAA1099"/>
    <w:multiLevelType w:val="hybridMultilevel"/>
    <w:tmpl w:val="CA6890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6E5324"/>
    <w:multiLevelType w:val="hybridMultilevel"/>
    <w:tmpl w:val="9D88FB4A"/>
    <w:lvl w:ilvl="0" w:tplc="66DED026">
      <w:start w:val="1"/>
      <w:numFmt w:val="bullet"/>
      <w:lvlText w:val=""/>
      <w:lvlJc w:val="left"/>
      <w:pPr>
        <w:tabs>
          <w:tab w:val="num" w:pos="2160"/>
        </w:tabs>
        <w:ind w:left="2160" w:hanging="360"/>
      </w:pPr>
      <w:rPr>
        <w:rFonts w:ascii="Symbol" w:hAnsi="Symbol" w:hint="default"/>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66C72CDE"/>
    <w:multiLevelType w:val="singleLevel"/>
    <w:tmpl w:val="43740A70"/>
    <w:lvl w:ilvl="0">
      <w:start w:val="1"/>
      <w:numFmt w:val="decimal"/>
      <w:lvlText w:val="%1)"/>
      <w:legacy w:legacy="1" w:legacySpace="0" w:legacyIndent="360"/>
      <w:lvlJc w:val="left"/>
      <w:pPr>
        <w:ind w:left="2160" w:hanging="360"/>
      </w:pPr>
    </w:lvl>
  </w:abstractNum>
  <w:abstractNum w:abstractNumId="43" w15:restartNumberingAfterBreak="0">
    <w:nsid w:val="681B0F93"/>
    <w:multiLevelType w:val="multilevel"/>
    <w:tmpl w:val="9D88FB4A"/>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4" w15:restartNumberingAfterBreak="0">
    <w:nsid w:val="6E9A64CD"/>
    <w:multiLevelType w:val="hybridMultilevel"/>
    <w:tmpl w:val="AD54E5A6"/>
    <w:lvl w:ilvl="0" w:tplc="03E6E230">
      <w:start w:val="1"/>
      <w:numFmt w:val="bullet"/>
      <w:lvlText w:val=""/>
      <w:lvlJc w:val="left"/>
      <w:pPr>
        <w:tabs>
          <w:tab w:val="num" w:pos="2160"/>
        </w:tabs>
        <w:ind w:left="2160" w:hanging="360"/>
      </w:pPr>
      <w:rPr>
        <w:rFonts w:ascii="Symbol" w:hAnsi="Symbol" w:hint="default"/>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5" w15:restartNumberingAfterBreak="0">
    <w:nsid w:val="72FC0663"/>
    <w:multiLevelType w:val="multilevel"/>
    <w:tmpl w:val="1BFCD316"/>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6" w15:restartNumberingAfterBreak="0">
    <w:nsid w:val="7DFB4D2F"/>
    <w:multiLevelType w:val="hybridMultilevel"/>
    <w:tmpl w:val="9EF22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1440" w:hanging="360"/>
        </w:pPr>
        <w:rPr>
          <w:rFonts w:ascii="Symbol" w:hAnsi="Symbol" w:hint="default"/>
        </w:rPr>
      </w:lvl>
    </w:lvlOverride>
  </w:num>
  <w:num w:numId="2">
    <w:abstractNumId w:val="10"/>
    <w:lvlOverride w:ilvl="0">
      <w:lvl w:ilvl="0">
        <w:start w:val="1"/>
        <w:numFmt w:val="bullet"/>
        <w:lvlText w:val="*"/>
        <w:legacy w:legacy="1" w:legacySpace="0" w:legacyIndent="360"/>
        <w:lvlJc w:val="left"/>
        <w:pPr>
          <w:ind w:left="360" w:hanging="360"/>
        </w:pPr>
        <w:rPr>
          <w:rFonts w:ascii="Times New Roman" w:hAnsi="Times New Roman" w:hint="default"/>
          <w:sz w:val="24"/>
        </w:rPr>
      </w:lvl>
    </w:lvlOverride>
  </w:num>
  <w:num w:numId="3">
    <w:abstractNumId w:val="10"/>
    <w:lvlOverride w:ilvl="0">
      <w:lvl w:ilvl="0">
        <w:start w:val="1"/>
        <w:numFmt w:val="bullet"/>
        <w:lvlText w:val=""/>
        <w:legacy w:legacy="1" w:legacySpace="0" w:legacyIndent="720"/>
        <w:lvlJc w:val="left"/>
        <w:pPr>
          <w:ind w:left="1440" w:hanging="720"/>
        </w:pPr>
        <w:rPr>
          <w:rFonts w:ascii="Symbol" w:hAnsi="Symbol" w:hint="default"/>
        </w:rPr>
      </w:lvl>
    </w:lvlOverride>
  </w:num>
  <w:num w:numId="4">
    <w:abstractNumId w:val="24"/>
  </w:num>
  <w:num w:numId="5">
    <w:abstractNumId w:val="42"/>
  </w:num>
  <w:num w:numId="6">
    <w:abstractNumId w:val="30"/>
  </w:num>
  <w:num w:numId="7">
    <w:abstractNumId w:val="26"/>
  </w:num>
  <w:num w:numId="8">
    <w:abstractNumId w:val="31"/>
  </w:num>
  <w:num w:numId="9">
    <w:abstractNumId w:val="20"/>
  </w:num>
  <w:num w:numId="10">
    <w:abstractNumId w:val="25"/>
  </w:num>
  <w:num w:numId="11">
    <w:abstractNumId w:val="19"/>
  </w:num>
  <w:num w:numId="12">
    <w:abstractNumId w:val="33"/>
  </w:num>
  <w:num w:numId="13">
    <w:abstractNumId w:val="18"/>
  </w:num>
  <w:num w:numId="14">
    <w:abstractNumId w:val="16"/>
  </w:num>
  <w:num w:numId="15">
    <w:abstractNumId w:val="27"/>
  </w:num>
  <w:num w:numId="16">
    <w:abstractNumId w:val="38"/>
  </w:num>
  <w:num w:numId="17">
    <w:abstractNumId w:val="17"/>
  </w:num>
  <w:num w:numId="18">
    <w:abstractNumId w:val="29"/>
  </w:num>
  <w:num w:numId="19">
    <w:abstractNumId w:val="13"/>
  </w:num>
  <w:num w:numId="20">
    <w:abstractNumId w:val="37"/>
  </w:num>
  <w:num w:numId="21">
    <w:abstractNumId w:val="36"/>
  </w:num>
  <w:num w:numId="22">
    <w:abstractNumId w:val="39"/>
  </w:num>
  <w:num w:numId="23">
    <w:abstractNumId w:val="34"/>
  </w:num>
  <w:num w:numId="24">
    <w:abstractNumId w:val="41"/>
  </w:num>
  <w:num w:numId="25">
    <w:abstractNumId w:val="45"/>
  </w:num>
  <w:num w:numId="26">
    <w:abstractNumId w:val="10"/>
    <w:lvlOverride w:ilvl="0">
      <w:lvl w:ilvl="0">
        <w:start w:val="1"/>
        <w:numFmt w:val="bullet"/>
        <w:lvlText w:val="*"/>
        <w:legacy w:legacy="1" w:legacySpace="0" w:legacyIndent="360"/>
        <w:lvlJc w:val="left"/>
        <w:pPr>
          <w:ind w:left="360" w:hanging="360"/>
        </w:pPr>
        <w:rPr>
          <w:rFonts w:ascii="Times New Roman" w:hAnsi="Times New Roman" w:hint="default"/>
          <w:sz w:val="22"/>
          <w:szCs w:val="22"/>
        </w:rPr>
      </w:lvl>
    </w:lvlOverride>
  </w:num>
  <w:num w:numId="27">
    <w:abstractNumId w:val="4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44"/>
  </w:num>
  <w:num w:numId="39">
    <w:abstractNumId w:val="14"/>
  </w:num>
  <w:num w:numId="40">
    <w:abstractNumId w:val="11"/>
  </w:num>
  <w:num w:numId="41">
    <w:abstractNumId w:val="15"/>
  </w:num>
  <w:num w:numId="42">
    <w:abstractNumId w:val="12"/>
  </w:num>
  <w:num w:numId="43">
    <w:abstractNumId w:val="46"/>
  </w:num>
  <w:num w:numId="44">
    <w:abstractNumId w:val="35"/>
  </w:num>
  <w:num w:numId="45">
    <w:abstractNumId w:val="22"/>
  </w:num>
  <w:num w:numId="46">
    <w:abstractNumId w:val="23"/>
  </w:num>
  <w:num w:numId="47">
    <w:abstractNumId w:val="32"/>
  </w:num>
  <w:num w:numId="48">
    <w:abstractNumId w:val="40"/>
  </w:num>
  <w:num w:numId="49">
    <w:abstractNumId w:val="28"/>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F8B"/>
    <w:rsid w:val="00006182"/>
    <w:rsid w:val="0000621A"/>
    <w:rsid w:val="000071EC"/>
    <w:rsid w:val="000118EC"/>
    <w:rsid w:val="0002072D"/>
    <w:rsid w:val="000352CB"/>
    <w:rsid w:val="00047D9E"/>
    <w:rsid w:val="00051916"/>
    <w:rsid w:val="00052568"/>
    <w:rsid w:val="00060CA1"/>
    <w:rsid w:val="00061006"/>
    <w:rsid w:val="0006300A"/>
    <w:rsid w:val="0006794B"/>
    <w:rsid w:val="0007050F"/>
    <w:rsid w:val="00073549"/>
    <w:rsid w:val="00094FC6"/>
    <w:rsid w:val="000A62BC"/>
    <w:rsid w:val="000B4CA0"/>
    <w:rsid w:val="000B5C35"/>
    <w:rsid w:val="000C4024"/>
    <w:rsid w:val="000C55F0"/>
    <w:rsid w:val="000D745C"/>
    <w:rsid w:val="000F5489"/>
    <w:rsid w:val="00106521"/>
    <w:rsid w:val="00106C3F"/>
    <w:rsid w:val="001239D4"/>
    <w:rsid w:val="00130B52"/>
    <w:rsid w:val="001360D3"/>
    <w:rsid w:val="00140088"/>
    <w:rsid w:val="001505F8"/>
    <w:rsid w:val="0016409E"/>
    <w:rsid w:val="00164BDE"/>
    <w:rsid w:val="00171A88"/>
    <w:rsid w:val="001723FD"/>
    <w:rsid w:val="00184B05"/>
    <w:rsid w:val="00184CB5"/>
    <w:rsid w:val="00195B7F"/>
    <w:rsid w:val="001966CE"/>
    <w:rsid w:val="001A0364"/>
    <w:rsid w:val="001A435A"/>
    <w:rsid w:val="001A71EE"/>
    <w:rsid w:val="001B632E"/>
    <w:rsid w:val="001B7CB9"/>
    <w:rsid w:val="001C3943"/>
    <w:rsid w:val="001D162F"/>
    <w:rsid w:val="001D412D"/>
    <w:rsid w:val="001D538F"/>
    <w:rsid w:val="001F0655"/>
    <w:rsid w:val="001F25AF"/>
    <w:rsid w:val="00230F04"/>
    <w:rsid w:val="0023450C"/>
    <w:rsid w:val="00235524"/>
    <w:rsid w:val="0023601D"/>
    <w:rsid w:val="00242DB8"/>
    <w:rsid w:val="00253413"/>
    <w:rsid w:val="0025423C"/>
    <w:rsid w:val="00282C87"/>
    <w:rsid w:val="00292247"/>
    <w:rsid w:val="00294132"/>
    <w:rsid w:val="0029645D"/>
    <w:rsid w:val="002A7709"/>
    <w:rsid w:val="002B3F8B"/>
    <w:rsid w:val="002B5725"/>
    <w:rsid w:val="002C3A1F"/>
    <w:rsid w:val="002C5A20"/>
    <w:rsid w:val="002D52E5"/>
    <w:rsid w:val="002E2D63"/>
    <w:rsid w:val="002E39EF"/>
    <w:rsid w:val="002F5D27"/>
    <w:rsid w:val="003043BA"/>
    <w:rsid w:val="00313FE3"/>
    <w:rsid w:val="00317273"/>
    <w:rsid w:val="00324E74"/>
    <w:rsid w:val="00325018"/>
    <w:rsid w:val="00336972"/>
    <w:rsid w:val="0034784E"/>
    <w:rsid w:val="003510FD"/>
    <w:rsid w:val="0035157D"/>
    <w:rsid w:val="00370FDB"/>
    <w:rsid w:val="003752BC"/>
    <w:rsid w:val="003776A6"/>
    <w:rsid w:val="00385A9B"/>
    <w:rsid w:val="00385F7E"/>
    <w:rsid w:val="00393167"/>
    <w:rsid w:val="00395B0E"/>
    <w:rsid w:val="003A05F8"/>
    <w:rsid w:val="003A2785"/>
    <w:rsid w:val="003B2F0B"/>
    <w:rsid w:val="003B42F5"/>
    <w:rsid w:val="003B7B66"/>
    <w:rsid w:val="003D54AB"/>
    <w:rsid w:val="003E7B53"/>
    <w:rsid w:val="00405AFE"/>
    <w:rsid w:val="004220AF"/>
    <w:rsid w:val="004234A5"/>
    <w:rsid w:val="00437E67"/>
    <w:rsid w:val="00440233"/>
    <w:rsid w:val="0044390F"/>
    <w:rsid w:val="004639E9"/>
    <w:rsid w:val="00466E12"/>
    <w:rsid w:val="004674AE"/>
    <w:rsid w:val="00477D23"/>
    <w:rsid w:val="0048007E"/>
    <w:rsid w:val="00484413"/>
    <w:rsid w:val="004918D0"/>
    <w:rsid w:val="004959C2"/>
    <w:rsid w:val="004A06C3"/>
    <w:rsid w:val="004A1A58"/>
    <w:rsid w:val="004A7DDE"/>
    <w:rsid w:val="004B0E55"/>
    <w:rsid w:val="004C0C9B"/>
    <w:rsid w:val="004C0DF2"/>
    <w:rsid w:val="004C6599"/>
    <w:rsid w:val="004E1970"/>
    <w:rsid w:val="004E19EE"/>
    <w:rsid w:val="004E2B5E"/>
    <w:rsid w:val="004E4C58"/>
    <w:rsid w:val="0051054A"/>
    <w:rsid w:val="005137AD"/>
    <w:rsid w:val="00541306"/>
    <w:rsid w:val="00546613"/>
    <w:rsid w:val="0054661C"/>
    <w:rsid w:val="00551BB5"/>
    <w:rsid w:val="0055645F"/>
    <w:rsid w:val="00557584"/>
    <w:rsid w:val="0056212E"/>
    <w:rsid w:val="0056421D"/>
    <w:rsid w:val="005746F8"/>
    <w:rsid w:val="0057714F"/>
    <w:rsid w:val="0058412F"/>
    <w:rsid w:val="00587E83"/>
    <w:rsid w:val="00596085"/>
    <w:rsid w:val="00597575"/>
    <w:rsid w:val="005A137A"/>
    <w:rsid w:val="005B2675"/>
    <w:rsid w:val="005C5332"/>
    <w:rsid w:val="005E4026"/>
    <w:rsid w:val="005E6EBC"/>
    <w:rsid w:val="005F0E97"/>
    <w:rsid w:val="005F6246"/>
    <w:rsid w:val="00603999"/>
    <w:rsid w:val="00603D57"/>
    <w:rsid w:val="006056B3"/>
    <w:rsid w:val="006217AE"/>
    <w:rsid w:val="0062405D"/>
    <w:rsid w:val="0062623D"/>
    <w:rsid w:val="00631E4C"/>
    <w:rsid w:val="00634910"/>
    <w:rsid w:val="0064518C"/>
    <w:rsid w:val="00650255"/>
    <w:rsid w:val="00653AAC"/>
    <w:rsid w:val="00654275"/>
    <w:rsid w:val="0066721C"/>
    <w:rsid w:val="00672EA9"/>
    <w:rsid w:val="00674BE5"/>
    <w:rsid w:val="0068216F"/>
    <w:rsid w:val="00687447"/>
    <w:rsid w:val="00693657"/>
    <w:rsid w:val="00696A1A"/>
    <w:rsid w:val="006978AF"/>
    <w:rsid w:val="006A6B97"/>
    <w:rsid w:val="006B321E"/>
    <w:rsid w:val="006C0075"/>
    <w:rsid w:val="006D04D4"/>
    <w:rsid w:val="006D1FAB"/>
    <w:rsid w:val="006D28CC"/>
    <w:rsid w:val="006D5EF4"/>
    <w:rsid w:val="006D67C7"/>
    <w:rsid w:val="006E3F67"/>
    <w:rsid w:val="006E57D7"/>
    <w:rsid w:val="006E59A7"/>
    <w:rsid w:val="006E7F21"/>
    <w:rsid w:val="006F25FD"/>
    <w:rsid w:val="006F31CD"/>
    <w:rsid w:val="006F438D"/>
    <w:rsid w:val="007060FA"/>
    <w:rsid w:val="00711260"/>
    <w:rsid w:val="00715791"/>
    <w:rsid w:val="00717665"/>
    <w:rsid w:val="00726A18"/>
    <w:rsid w:val="00736E71"/>
    <w:rsid w:val="00737603"/>
    <w:rsid w:val="00737BD1"/>
    <w:rsid w:val="0074012E"/>
    <w:rsid w:val="0074337C"/>
    <w:rsid w:val="00751B5A"/>
    <w:rsid w:val="007643E1"/>
    <w:rsid w:val="007717FC"/>
    <w:rsid w:val="00775C19"/>
    <w:rsid w:val="0078542E"/>
    <w:rsid w:val="00787AAB"/>
    <w:rsid w:val="00791E25"/>
    <w:rsid w:val="007A6DF6"/>
    <w:rsid w:val="007B46CD"/>
    <w:rsid w:val="007C05FD"/>
    <w:rsid w:val="007C230A"/>
    <w:rsid w:val="007C61E7"/>
    <w:rsid w:val="007D6DE9"/>
    <w:rsid w:val="007D6F88"/>
    <w:rsid w:val="007F1058"/>
    <w:rsid w:val="007F2D13"/>
    <w:rsid w:val="00830CC0"/>
    <w:rsid w:val="00835028"/>
    <w:rsid w:val="00840292"/>
    <w:rsid w:val="00847BCF"/>
    <w:rsid w:val="008501F3"/>
    <w:rsid w:val="008529D6"/>
    <w:rsid w:val="008844D4"/>
    <w:rsid w:val="008910DD"/>
    <w:rsid w:val="008947F3"/>
    <w:rsid w:val="008948D5"/>
    <w:rsid w:val="00897869"/>
    <w:rsid w:val="008A41DD"/>
    <w:rsid w:val="008C03A9"/>
    <w:rsid w:val="008C3BC1"/>
    <w:rsid w:val="008D52E8"/>
    <w:rsid w:val="008D5EBE"/>
    <w:rsid w:val="008D6F6D"/>
    <w:rsid w:val="008D7F9B"/>
    <w:rsid w:val="008E6900"/>
    <w:rsid w:val="008F68C7"/>
    <w:rsid w:val="00910C06"/>
    <w:rsid w:val="009301E6"/>
    <w:rsid w:val="0093354A"/>
    <w:rsid w:val="00945064"/>
    <w:rsid w:val="009613A9"/>
    <w:rsid w:val="00964C5D"/>
    <w:rsid w:val="0097461B"/>
    <w:rsid w:val="009825F0"/>
    <w:rsid w:val="00987850"/>
    <w:rsid w:val="009A1F02"/>
    <w:rsid w:val="009A5325"/>
    <w:rsid w:val="009A56BB"/>
    <w:rsid w:val="009C4A4C"/>
    <w:rsid w:val="009C5210"/>
    <w:rsid w:val="009D0CB6"/>
    <w:rsid w:val="009D3FA8"/>
    <w:rsid w:val="009E5659"/>
    <w:rsid w:val="009F3E45"/>
    <w:rsid w:val="009F4AA6"/>
    <w:rsid w:val="00A015B7"/>
    <w:rsid w:val="00A04CDA"/>
    <w:rsid w:val="00A10A56"/>
    <w:rsid w:val="00A15C7A"/>
    <w:rsid w:val="00A27AD9"/>
    <w:rsid w:val="00A32B40"/>
    <w:rsid w:val="00A36D19"/>
    <w:rsid w:val="00A371E9"/>
    <w:rsid w:val="00A41AEA"/>
    <w:rsid w:val="00A619BC"/>
    <w:rsid w:val="00A644F0"/>
    <w:rsid w:val="00A65B32"/>
    <w:rsid w:val="00A67012"/>
    <w:rsid w:val="00A74DC4"/>
    <w:rsid w:val="00A7554D"/>
    <w:rsid w:val="00A75FEA"/>
    <w:rsid w:val="00A77240"/>
    <w:rsid w:val="00A8001E"/>
    <w:rsid w:val="00A9238C"/>
    <w:rsid w:val="00AA5163"/>
    <w:rsid w:val="00AA553C"/>
    <w:rsid w:val="00AA74E1"/>
    <w:rsid w:val="00AB2232"/>
    <w:rsid w:val="00AD4C16"/>
    <w:rsid w:val="00AE57E8"/>
    <w:rsid w:val="00AE5FE4"/>
    <w:rsid w:val="00AF270C"/>
    <w:rsid w:val="00B00B84"/>
    <w:rsid w:val="00B1049C"/>
    <w:rsid w:val="00B130EE"/>
    <w:rsid w:val="00B244A2"/>
    <w:rsid w:val="00B27CAD"/>
    <w:rsid w:val="00B37962"/>
    <w:rsid w:val="00B41449"/>
    <w:rsid w:val="00B44040"/>
    <w:rsid w:val="00B44B8B"/>
    <w:rsid w:val="00B477ED"/>
    <w:rsid w:val="00B56507"/>
    <w:rsid w:val="00B71342"/>
    <w:rsid w:val="00B84CD8"/>
    <w:rsid w:val="00B92FDE"/>
    <w:rsid w:val="00B933AB"/>
    <w:rsid w:val="00B943A5"/>
    <w:rsid w:val="00B951D6"/>
    <w:rsid w:val="00BA3214"/>
    <w:rsid w:val="00BB0769"/>
    <w:rsid w:val="00BB0C85"/>
    <w:rsid w:val="00BB34E9"/>
    <w:rsid w:val="00BB364B"/>
    <w:rsid w:val="00BB7693"/>
    <w:rsid w:val="00BC46EE"/>
    <w:rsid w:val="00BD438A"/>
    <w:rsid w:val="00BD50A3"/>
    <w:rsid w:val="00BE3C18"/>
    <w:rsid w:val="00BE78AD"/>
    <w:rsid w:val="00BF5237"/>
    <w:rsid w:val="00BF6175"/>
    <w:rsid w:val="00C05BB0"/>
    <w:rsid w:val="00C128B7"/>
    <w:rsid w:val="00C135C8"/>
    <w:rsid w:val="00C41072"/>
    <w:rsid w:val="00C64C0A"/>
    <w:rsid w:val="00C655C8"/>
    <w:rsid w:val="00C67C38"/>
    <w:rsid w:val="00C67D48"/>
    <w:rsid w:val="00C7596A"/>
    <w:rsid w:val="00C8326C"/>
    <w:rsid w:val="00C85579"/>
    <w:rsid w:val="00C923CB"/>
    <w:rsid w:val="00C94BEC"/>
    <w:rsid w:val="00C978A3"/>
    <w:rsid w:val="00CA1352"/>
    <w:rsid w:val="00CA4DFE"/>
    <w:rsid w:val="00CA6EC6"/>
    <w:rsid w:val="00CA712F"/>
    <w:rsid w:val="00CA7A15"/>
    <w:rsid w:val="00CB0971"/>
    <w:rsid w:val="00CB3CFD"/>
    <w:rsid w:val="00CC3A3F"/>
    <w:rsid w:val="00CC5B7B"/>
    <w:rsid w:val="00CC7E5B"/>
    <w:rsid w:val="00CD640F"/>
    <w:rsid w:val="00CE0070"/>
    <w:rsid w:val="00CE0206"/>
    <w:rsid w:val="00CF7072"/>
    <w:rsid w:val="00D00C0F"/>
    <w:rsid w:val="00D050A1"/>
    <w:rsid w:val="00D05582"/>
    <w:rsid w:val="00D10309"/>
    <w:rsid w:val="00D114A0"/>
    <w:rsid w:val="00D16868"/>
    <w:rsid w:val="00D210DF"/>
    <w:rsid w:val="00D3326C"/>
    <w:rsid w:val="00D56AFC"/>
    <w:rsid w:val="00D60E64"/>
    <w:rsid w:val="00D66A16"/>
    <w:rsid w:val="00D76E4C"/>
    <w:rsid w:val="00D831C7"/>
    <w:rsid w:val="00D84419"/>
    <w:rsid w:val="00D84F7E"/>
    <w:rsid w:val="00D8660C"/>
    <w:rsid w:val="00D90763"/>
    <w:rsid w:val="00D97108"/>
    <w:rsid w:val="00D97396"/>
    <w:rsid w:val="00DA18D1"/>
    <w:rsid w:val="00DA19BC"/>
    <w:rsid w:val="00DA4031"/>
    <w:rsid w:val="00DA5D30"/>
    <w:rsid w:val="00DA6432"/>
    <w:rsid w:val="00DB2DDA"/>
    <w:rsid w:val="00DC2C63"/>
    <w:rsid w:val="00DC2F36"/>
    <w:rsid w:val="00DD053D"/>
    <w:rsid w:val="00DD2E1D"/>
    <w:rsid w:val="00DD3FB9"/>
    <w:rsid w:val="00DD502E"/>
    <w:rsid w:val="00DD52FE"/>
    <w:rsid w:val="00DE531F"/>
    <w:rsid w:val="00DF0075"/>
    <w:rsid w:val="00E002EB"/>
    <w:rsid w:val="00E01CA9"/>
    <w:rsid w:val="00E04C3A"/>
    <w:rsid w:val="00E160A5"/>
    <w:rsid w:val="00E16E42"/>
    <w:rsid w:val="00E32BE2"/>
    <w:rsid w:val="00E36FCF"/>
    <w:rsid w:val="00E37678"/>
    <w:rsid w:val="00E37A76"/>
    <w:rsid w:val="00E40B36"/>
    <w:rsid w:val="00E42D12"/>
    <w:rsid w:val="00E56C36"/>
    <w:rsid w:val="00E570CA"/>
    <w:rsid w:val="00E57511"/>
    <w:rsid w:val="00E67C91"/>
    <w:rsid w:val="00E80380"/>
    <w:rsid w:val="00E871F0"/>
    <w:rsid w:val="00E87602"/>
    <w:rsid w:val="00E90BF2"/>
    <w:rsid w:val="00E92C60"/>
    <w:rsid w:val="00EB0F2C"/>
    <w:rsid w:val="00ED1DBD"/>
    <w:rsid w:val="00ED75F7"/>
    <w:rsid w:val="00EE35E1"/>
    <w:rsid w:val="00EF48C3"/>
    <w:rsid w:val="00F0507A"/>
    <w:rsid w:val="00F05260"/>
    <w:rsid w:val="00F053FC"/>
    <w:rsid w:val="00F12A4A"/>
    <w:rsid w:val="00F1794F"/>
    <w:rsid w:val="00F20937"/>
    <w:rsid w:val="00F24110"/>
    <w:rsid w:val="00F2534C"/>
    <w:rsid w:val="00F256B3"/>
    <w:rsid w:val="00F3736A"/>
    <w:rsid w:val="00F40574"/>
    <w:rsid w:val="00F40918"/>
    <w:rsid w:val="00F42F98"/>
    <w:rsid w:val="00F514B1"/>
    <w:rsid w:val="00F54548"/>
    <w:rsid w:val="00F613FF"/>
    <w:rsid w:val="00F70AA9"/>
    <w:rsid w:val="00F70AC0"/>
    <w:rsid w:val="00F74779"/>
    <w:rsid w:val="00F83B10"/>
    <w:rsid w:val="00F860CF"/>
    <w:rsid w:val="00F86318"/>
    <w:rsid w:val="00FB00EE"/>
    <w:rsid w:val="00FB17C2"/>
    <w:rsid w:val="00FB3056"/>
    <w:rsid w:val="00FC3F4C"/>
    <w:rsid w:val="00FD1B3B"/>
    <w:rsid w:val="00FD3F2C"/>
    <w:rsid w:val="00FE60FA"/>
    <w:rsid w:val="00FF607C"/>
    <w:rsid w:val="00FF60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7B5C2121-0E4F-47DA-9E91-C6D3AA548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lang w:eastAsia="en-US"/>
    </w:rPr>
  </w:style>
  <w:style w:type="paragraph" w:styleId="Heading1">
    <w:name w:val="heading 1"/>
    <w:basedOn w:val="Normal"/>
    <w:next w:val="Normal"/>
    <w:qFormat/>
    <w:pPr>
      <w:spacing w:before="240"/>
      <w:outlineLvl w:val="0"/>
    </w:pPr>
    <w:rPr>
      <w:rFonts w:ascii="Arial" w:hAnsi="Arial"/>
      <w:b/>
      <w:u w:val="single"/>
    </w:rPr>
  </w:style>
  <w:style w:type="paragraph" w:styleId="Heading2">
    <w:name w:val="heading 2"/>
    <w:basedOn w:val="Normal"/>
    <w:next w:val="Normal"/>
    <w:qFormat/>
    <w:pPr>
      <w:spacing w:before="120"/>
      <w:outlineLvl w:val="1"/>
    </w:pPr>
    <w:rPr>
      <w:rFonts w:ascii="Arial" w:hAnsi="Arial"/>
      <w:b/>
    </w:rPr>
  </w:style>
  <w:style w:type="paragraph" w:styleId="Heading3">
    <w:name w:val="heading 3"/>
    <w:basedOn w:val="Normal"/>
    <w:next w:val="NormalIndent"/>
    <w:qFormat/>
    <w:pPr>
      <w:ind w:left="360"/>
      <w:outlineLvl w:val="2"/>
    </w:pPr>
    <w:rPr>
      <w:b/>
    </w:rPr>
  </w:style>
  <w:style w:type="paragraph" w:styleId="Heading4">
    <w:name w:val="heading 4"/>
    <w:basedOn w:val="Normal"/>
    <w:next w:val="NormalIndent"/>
    <w:qFormat/>
    <w:pPr>
      <w:ind w:left="360"/>
      <w:outlineLvl w:val="3"/>
    </w:pPr>
    <w:rPr>
      <w:u w:val="single"/>
    </w:rPr>
  </w:style>
  <w:style w:type="paragraph" w:styleId="Heading5">
    <w:name w:val="heading 5"/>
    <w:basedOn w:val="Normal"/>
    <w:next w:val="NormalIndent"/>
    <w:qFormat/>
    <w:pPr>
      <w:ind w:left="720"/>
      <w:outlineLvl w:val="4"/>
    </w:pPr>
    <w:rPr>
      <w:b/>
      <w:sz w:val="20"/>
    </w:rPr>
  </w:style>
  <w:style w:type="paragraph" w:styleId="Heading6">
    <w:name w:val="heading 6"/>
    <w:basedOn w:val="Normal"/>
    <w:next w:val="NormalIndent"/>
    <w:qFormat/>
    <w:pPr>
      <w:ind w:left="720"/>
      <w:outlineLvl w:val="5"/>
    </w:pPr>
    <w:rPr>
      <w:sz w:val="20"/>
      <w:u w:val="single"/>
    </w:rPr>
  </w:style>
  <w:style w:type="paragraph" w:styleId="Heading7">
    <w:name w:val="heading 7"/>
    <w:basedOn w:val="Normal"/>
    <w:next w:val="NormalIndent"/>
    <w:qFormat/>
    <w:pPr>
      <w:ind w:left="720"/>
      <w:outlineLvl w:val="6"/>
    </w:pPr>
    <w:rPr>
      <w:i/>
      <w:sz w:val="20"/>
    </w:rPr>
  </w:style>
  <w:style w:type="paragraph" w:styleId="Heading8">
    <w:name w:val="heading 8"/>
    <w:basedOn w:val="Normal"/>
    <w:next w:val="NormalIndent"/>
    <w:qFormat/>
    <w:pPr>
      <w:ind w:left="720"/>
      <w:outlineLvl w:val="7"/>
    </w:pPr>
    <w:rPr>
      <w:i/>
      <w:sz w:val="20"/>
    </w:rPr>
  </w:style>
  <w:style w:type="paragraph" w:styleId="Heading9">
    <w:name w:val="heading 9"/>
    <w:basedOn w:val="Normal"/>
    <w:next w:val="NormalIndent"/>
    <w:qFormat/>
    <w:pPr>
      <w:ind w:left="720"/>
      <w:outlineLvl w:val="8"/>
    </w:pPr>
    <w:rPr>
      <w:i/>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Indent">
    <w:name w:val="Normal Indent"/>
    <w:basedOn w:val="Normal"/>
    <w:pPr>
      <w:ind w:left="720"/>
    </w:p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FootnoteReference">
    <w:name w:val="footnote reference"/>
    <w:semiHidden/>
    <w:rPr>
      <w:position w:val="6"/>
      <w:sz w:val="16"/>
    </w:rPr>
  </w:style>
  <w:style w:type="paragraph" w:styleId="FootnoteText">
    <w:name w:val="footnote text"/>
    <w:basedOn w:val="Normal"/>
    <w:semiHidden/>
    <w:rPr>
      <w:sz w:val="20"/>
    </w:rPr>
  </w:style>
  <w:style w:type="character" w:styleId="PageNumber">
    <w:name w:val="page number"/>
    <w:basedOn w:val="DefaultParagraphFont"/>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32"/>
    </w:pPr>
    <w:rPr>
      <w:sz w:val="22"/>
    </w:r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Pr>
      <w:sz w:val="18"/>
    </w:rPr>
  </w:style>
  <w:style w:type="paragraph" w:styleId="BodyText">
    <w:name w:val="Body Text"/>
    <w:basedOn w:val="Normal"/>
    <w:pPr>
      <w:jc w:val="left"/>
    </w:p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pPr>
    <w:rPr>
      <w:rFonts w:ascii="Arial Narrow" w:hAnsi="Arial Narrow"/>
      <w:i/>
      <w:sz w:val="20"/>
    </w:rPr>
  </w:style>
  <w:style w:type="character" w:styleId="Hyperlink">
    <w:name w:val="Hyperlink"/>
    <w:rPr>
      <w:color w:val="0000FF"/>
      <w:u w:val="single"/>
    </w:rPr>
  </w:style>
  <w:style w:type="paragraph" w:styleId="Title">
    <w:name w:val="Title"/>
    <w:basedOn w:val="Normal"/>
    <w:qFormat/>
    <w:rsid w:val="009F3E45"/>
    <w:pPr>
      <w:pBdr>
        <w:top w:val="single" w:sz="4" w:space="1" w:color="auto"/>
        <w:left w:val="single" w:sz="4" w:space="4" w:color="auto"/>
        <w:bottom w:val="single" w:sz="4" w:space="1" w:color="auto"/>
        <w:right w:val="single" w:sz="4" w:space="4" w:color="auto"/>
      </w:pBdr>
      <w:jc w:val="center"/>
    </w:pPr>
    <w:rPr>
      <w:sz w:val="36"/>
    </w:rPr>
  </w:style>
  <w:style w:type="paragraph" w:styleId="BalloonText">
    <w:name w:val="Balloon Text"/>
    <w:basedOn w:val="Normal"/>
    <w:link w:val="BalloonTextChar"/>
    <w:rsid w:val="00184B05"/>
    <w:rPr>
      <w:rFonts w:ascii="Tahoma" w:hAnsi="Tahoma" w:cs="Tahoma"/>
      <w:sz w:val="16"/>
      <w:szCs w:val="16"/>
    </w:rPr>
  </w:style>
  <w:style w:type="character" w:customStyle="1" w:styleId="BalloonTextChar">
    <w:name w:val="Balloon Text Char"/>
    <w:link w:val="BalloonText"/>
    <w:rsid w:val="00184B05"/>
    <w:rPr>
      <w:rFonts w:ascii="Tahoma" w:hAnsi="Tahoma" w:cs="Tahoma"/>
      <w:sz w:val="16"/>
      <w:szCs w:val="16"/>
    </w:rPr>
  </w:style>
  <w:style w:type="character" w:customStyle="1" w:styleId="FooterChar">
    <w:name w:val="Footer Char"/>
    <w:link w:val="Footer"/>
    <w:rsid w:val="00546613"/>
    <w:rPr>
      <w:sz w:val="24"/>
    </w:rPr>
  </w:style>
  <w:style w:type="paragraph" w:styleId="ListParagraph">
    <w:name w:val="List Paragraph"/>
    <w:basedOn w:val="Normal"/>
    <w:uiPriority w:val="34"/>
    <w:qFormat/>
    <w:rsid w:val="008D6F6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0B7D8-D546-4731-84E7-3FF666C76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English 350 (09) * Advanced Composition * Fall 1993</vt:lpstr>
    </vt:vector>
  </TitlesOfParts>
  <Company>CSU Dominguez Hills</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350 (09) * Advanced Composition * Fall 1993</dc:title>
  <dc:subject/>
  <dc:creator>Thomas Giannotti</dc:creator>
  <cp:keywords/>
  <cp:lastModifiedBy>nancy figueroa</cp:lastModifiedBy>
  <cp:revision>2</cp:revision>
  <cp:lastPrinted>2020-07-07T21:07:00Z</cp:lastPrinted>
  <dcterms:created xsi:type="dcterms:W3CDTF">2020-07-16T18:15:00Z</dcterms:created>
  <dcterms:modified xsi:type="dcterms:W3CDTF">2020-07-16T18:15:00Z</dcterms:modified>
</cp:coreProperties>
</file>